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BF95C7" w14:textId="77777777" w:rsidR="000F6815" w:rsidRDefault="000F6815" w:rsidP="000F6815">
      <w:pPr>
        <w:pStyle w:val="BodyText"/>
        <w:jc w:val="right"/>
        <w:rPr>
          <w:b/>
          <w:bCs/>
          <w:sz w:val="48"/>
          <w:szCs w:val="48"/>
        </w:rPr>
      </w:pPr>
      <w:bookmarkStart w:id="0" w:name="_Toc274736420"/>
      <w:bookmarkStart w:id="1" w:name="_Toc290293093"/>
      <w:bookmarkStart w:id="2" w:name="_Toc348602486"/>
      <w:bookmarkStart w:id="3" w:name="_Toc348945240"/>
      <w:bookmarkStart w:id="4" w:name="_Toc348945314"/>
      <w:bookmarkStart w:id="5" w:name="_Toc349046387"/>
      <w:bookmarkStart w:id="6" w:name="_Toc387143543"/>
    </w:p>
    <w:p w14:paraId="21E1A665" w14:textId="77777777" w:rsidR="000F6815" w:rsidRDefault="000F6815" w:rsidP="000F6815">
      <w:pPr>
        <w:pStyle w:val="BodyText"/>
        <w:jc w:val="right"/>
        <w:rPr>
          <w:b/>
          <w:bCs/>
          <w:sz w:val="48"/>
          <w:szCs w:val="48"/>
        </w:rPr>
      </w:pPr>
    </w:p>
    <w:p w14:paraId="68B945E2" w14:textId="77777777" w:rsidR="000F6815" w:rsidRDefault="000F6815" w:rsidP="000F6815">
      <w:pPr>
        <w:pStyle w:val="BodyText"/>
        <w:jc w:val="right"/>
        <w:rPr>
          <w:b/>
          <w:bCs/>
          <w:sz w:val="48"/>
          <w:szCs w:val="48"/>
        </w:rPr>
      </w:pPr>
    </w:p>
    <w:p w14:paraId="26BADD19" w14:textId="77777777" w:rsidR="000F6815" w:rsidRDefault="000F6815" w:rsidP="000F6815">
      <w:pPr>
        <w:pStyle w:val="BodyText"/>
        <w:jc w:val="right"/>
        <w:rPr>
          <w:b/>
          <w:bCs/>
          <w:sz w:val="48"/>
          <w:szCs w:val="48"/>
        </w:rPr>
      </w:pPr>
    </w:p>
    <w:p w14:paraId="69C0D46F" w14:textId="77777777" w:rsidR="000F6815" w:rsidRDefault="000F6815" w:rsidP="000F6815">
      <w:pPr>
        <w:pStyle w:val="BodyText"/>
        <w:jc w:val="right"/>
        <w:rPr>
          <w:b/>
          <w:bCs/>
          <w:sz w:val="48"/>
          <w:szCs w:val="48"/>
        </w:rPr>
      </w:pPr>
    </w:p>
    <w:p w14:paraId="25A283B0" w14:textId="77777777" w:rsidR="000F6815" w:rsidRDefault="000F6815" w:rsidP="000F6815">
      <w:pPr>
        <w:pStyle w:val="BodyText"/>
        <w:jc w:val="right"/>
        <w:rPr>
          <w:b/>
          <w:bCs/>
          <w:sz w:val="48"/>
          <w:szCs w:val="48"/>
        </w:rPr>
      </w:pPr>
    </w:p>
    <w:p w14:paraId="66A2B6D9" w14:textId="77777777" w:rsidR="000F6815" w:rsidRPr="006732C2" w:rsidRDefault="000F6815" w:rsidP="000F6815">
      <w:pPr>
        <w:pStyle w:val="BodyText"/>
        <w:jc w:val="right"/>
        <w:rPr>
          <w:b/>
          <w:bCs/>
          <w:sz w:val="48"/>
          <w:szCs w:val="48"/>
        </w:rPr>
      </w:pPr>
      <w:r w:rsidRPr="006732C2">
        <w:rPr>
          <w:b/>
          <w:bCs/>
          <w:sz w:val="48"/>
          <w:szCs w:val="48"/>
        </w:rPr>
        <w:t>Biosolids Tool</w:t>
      </w:r>
      <w:r>
        <w:rPr>
          <w:b/>
          <w:bCs/>
          <w:sz w:val="48"/>
          <w:szCs w:val="48"/>
        </w:rPr>
        <w:t xml:space="preserve"> (BST)</w:t>
      </w:r>
    </w:p>
    <w:p w14:paraId="0B4DA0B7" w14:textId="77777777" w:rsidR="000F6815" w:rsidRPr="00286D3B" w:rsidRDefault="000F6815" w:rsidP="000F6815">
      <w:pPr>
        <w:pStyle w:val="BodyText"/>
        <w:jc w:val="right"/>
      </w:pPr>
      <w:r w:rsidRPr="006732C2">
        <w:rPr>
          <w:b/>
          <w:bCs/>
          <w:sz w:val="48"/>
          <w:szCs w:val="48"/>
        </w:rPr>
        <w:t>User’s Guide</w:t>
      </w:r>
    </w:p>
    <w:p w14:paraId="3C1B45F3" w14:textId="77777777" w:rsidR="000F6815" w:rsidRPr="00286D3B" w:rsidRDefault="000F6815" w:rsidP="000F6815">
      <w:pPr>
        <w:pStyle w:val="BodyText"/>
        <w:jc w:val="right"/>
      </w:pPr>
      <w:r w:rsidRPr="00286D3B">
        <w:t>Version 1</w:t>
      </w:r>
    </w:p>
    <w:p w14:paraId="7D576154" w14:textId="7AD57600" w:rsidR="000F6815" w:rsidRPr="00286D3B" w:rsidRDefault="007E3105" w:rsidP="000F6815">
      <w:pPr>
        <w:pStyle w:val="BodyText"/>
        <w:jc w:val="right"/>
      </w:pPr>
      <w:r>
        <w:t>February 2023</w:t>
      </w:r>
    </w:p>
    <w:p w14:paraId="1C3DBC7E" w14:textId="77777777" w:rsidR="000F6815" w:rsidRPr="00286D3B" w:rsidRDefault="000F6815" w:rsidP="000F6815">
      <w:pPr>
        <w:rPr>
          <w:rFonts w:ascii="Times New Roman" w:eastAsia="Times New Roman" w:hAnsi="Times New Roman" w:cs="Times New Roman"/>
          <w:sz w:val="24"/>
          <w:szCs w:val="24"/>
          <w:lang w:eastAsia="x-none"/>
        </w:rPr>
      </w:pPr>
      <w:r w:rsidRPr="00286D3B">
        <w:rPr>
          <w:rFonts w:ascii="Times New Roman" w:hAnsi="Times New Roman" w:cs="Times New Roman"/>
          <w:sz w:val="24"/>
          <w:szCs w:val="24"/>
        </w:rPr>
        <w:br w:type="page"/>
      </w:r>
    </w:p>
    <w:p w14:paraId="0774F3AF" w14:textId="77777777" w:rsidR="000F6815" w:rsidRPr="005D1672" w:rsidRDefault="000F6815" w:rsidP="005D1672">
      <w:pPr>
        <w:pStyle w:val="TOC0"/>
      </w:pPr>
      <w:bookmarkStart w:id="7" w:name="_Toc99449943"/>
      <w:bookmarkStart w:id="8" w:name="_Toc128041920"/>
      <w:r w:rsidRPr="005D1672">
        <w:lastRenderedPageBreak/>
        <w:t>Scope and Purpose</w:t>
      </w:r>
      <w:bookmarkEnd w:id="7"/>
      <w:bookmarkEnd w:id="8"/>
    </w:p>
    <w:p w14:paraId="2CB5461C" w14:textId="6ED8F5FB" w:rsidR="000F6815" w:rsidRPr="003B0248" w:rsidRDefault="000F6815" w:rsidP="000F6815">
      <w:pPr>
        <w:pStyle w:val="BodyText"/>
        <w:rPr>
          <w:lang w:val="en"/>
        </w:rPr>
      </w:pPr>
      <w:r w:rsidRPr="003B0248">
        <w:rPr>
          <w:lang w:val="en"/>
        </w:rPr>
        <w:t xml:space="preserve">Biosolids (also referred to as </w:t>
      </w:r>
      <w:r w:rsidR="007E3105">
        <w:rPr>
          <w:lang w:val="en"/>
        </w:rPr>
        <w:t xml:space="preserve">treated </w:t>
      </w:r>
      <w:r w:rsidRPr="003B0248">
        <w:rPr>
          <w:lang w:val="en"/>
        </w:rPr>
        <w:t xml:space="preserve">sewage sludge) result from the treatment of domestic sewage in a wastewater treatment facility. When applied to land at the appropriate agronomic rate, biosolids </w:t>
      </w:r>
      <w:r w:rsidR="007E3105">
        <w:rPr>
          <w:lang w:val="en"/>
        </w:rPr>
        <w:t xml:space="preserve">may </w:t>
      </w:r>
      <w:r w:rsidRPr="003B0248">
        <w:rPr>
          <w:lang w:val="en"/>
        </w:rPr>
        <w:t xml:space="preserve">provide </w:t>
      </w:r>
      <w:r w:rsidR="007E3105" w:rsidRPr="003B0248">
        <w:rPr>
          <w:lang w:val="en"/>
        </w:rPr>
        <w:t>several</w:t>
      </w:r>
      <w:r w:rsidRPr="003B0248">
        <w:rPr>
          <w:lang w:val="en"/>
        </w:rPr>
        <w:t xml:space="preserve"> benefits including nutrient addition, soil structure, and reuse of water. Land application of biosolids also can have economic and waste management benefits (e.g., conservation of landfill space; recycling a waste product reducing the demand on non-renewable resources like phosphorus and the demand for synthetic fertilizers; reduced overall farm cost for fertilizers). In addition to rich organic materials, biosolids can contain contaminants depending on domestic or industrial sources that come into the wastewater treatment facility for treatment. Under the Clean Water Act</w:t>
      </w:r>
      <w:r>
        <w:rPr>
          <w:lang w:val="en"/>
        </w:rPr>
        <w:t xml:space="preserve"> (CWA)</w:t>
      </w:r>
      <w:r w:rsidRPr="003B0248">
        <w:rPr>
          <w:lang w:val="en"/>
        </w:rPr>
        <w:t xml:space="preserve">, contaminants in effluent discharges to surface waters are controlled by the National Pollutant Discharge Elimination System (NPDES) permits. Section 405(d) of the CWA requires </w:t>
      </w:r>
      <w:r>
        <w:rPr>
          <w:lang w:val="en"/>
        </w:rPr>
        <w:t>the Environmental Protection Agency (</w:t>
      </w:r>
      <w:r w:rsidRPr="003B0248">
        <w:rPr>
          <w:lang w:val="en"/>
        </w:rPr>
        <w:t>EPA</w:t>
      </w:r>
      <w:r>
        <w:rPr>
          <w:lang w:val="en"/>
        </w:rPr>
        <w:t xml:space="preserve">) </w:t>
      </w:r>
      <w:r w:rsidRPr="003B0248">
        <w:rPr>
          <w:lang w:val="en"/>
        </w:rPr>
        <w:t>to “Establish numeric limits and management practices that protect public health and the environment from the reasonably anticipated adverse effects of chemical and microbial pollutants during the use or disposal of sewage sludge.”</w:t>
      </w:r>
    </w:p>
    <w:p w14:paraId="64B52847" w14:textId="77777777" w:rsidR="00733E31" w:rsidRPr="003B0248" w:rsidRDefault="00733E31" w:rsidP="00733E31">
      <w:pPr>
        <w:pStyle w:val="BodyText"/>
      </w:pPr>
      <w:bookmarkStart w:id="9" w:name="_Toc99449945"/>
      <w:r w:rsidRPr="003B0248">
        <w:t xml:space="preserve">EPA developed the </w:t>
      </w:r>
      <w:r w:rsidRPr="00286D3B">
        <w:t>Biosolids Tool (</w:t>
      </w:r>
      <w:r w:rsidRPr="003B0248">
        <w:t>BST</w:t>
      </w:r>
      <w:r w:rsidRPr="00286D3B">
        <w:t>)</w:t>
      </w:r>
      <w:r w:rsidRPr="003B0248">
        <w:t xml:space="preserve"> for a specific purpose: to support </w:t>
      </w:r>
      <w:r w:rsidRPr="00286D3B">
        <w:t xml:space="preserve">the </w:t>
      </w:r>
      <w:r w:rsidRPr="003B0248">
        <w:t>EPA</w:t>
      </w:r>
      <w:r>
        <w:t>’s</w:t>
      </w:r>
      <w:r w:rsidRPr="003B0248">
        <w:t xml:space="preserve"> assessment of risk associated with contaminants identified in biosolids and to identify contaminants that are not likely to pose risks to humans or the environment if they occur in land </w:t>
      </w:r>
      <w:r w:rsidRPr="00B72012">
        <w:t xml:space="preserve">applied biosolids. In the biennial review process under Section 405(d) of the CWA, EPA identifies compounds reported to occur in biosolids based on a review of available public literature. The </w:t>
      </w:r>
      <w:r>
        <w:t>BST</w:t>
      </w:r>
      <w:r w:rsidRPr="00B72012">
        <w:t xml:space="preserve"> was designed to efficiently and effectively evaluate the risk of pollutants identified in Biennial reviews using conservative assumptions of exposure and toxicity. </w:t>
      </w:r>
      <w:r>
        <w:t>EPA is proposing to use t</w:t>
      </w:r>
      <w:r w:rsidRPr="00286D3B">
        <w:t xml:space="preserve">he BST </w:t>
      </w:r>
      <w:r>
        <w:t xml:space="preserve">to </w:t>
      </w:r>
      <w:r w:rsidRPr="00286D3B">
        <w:t xml:space="preserve">evaluate </w:t>
      </w:r>
      <w:r>
        <w:t xml:space="preserve">the potential </w:t>
      </w:r>
      <w:r w:rsidRPr="00286D3B">
        <w:t xml:space="preserve">human health </w:t>
      </w:r>
      <w:r>
        <w:t xml:space="preserve">and ecological </w:t>
      </w:r>
      <w:r w:rsidRPr="00286D3B">
        <w:t xml:space="preserve">risks from land application and surface disposal of biosolids. </w:t>
      </w:r>
      <w:r>
        <w:t xml:space="preserve">The BST evaluates the potential risk of individual chemical contaminants in biosolids to a farm family and to aquatic and terrestrial organisms in the vicinity of the biosolids application/disposal. </w:t>
      </w:r>
      <w:r w:rsidRPr="00B72012">
        <w:t xml:space="preserve">If a pollutant passes an initial screen, </w:t>
      </w:r>
      <w:r>
        <w:t>it will be deemed low priority</w:t>
      </w:r>
      <w:r w:rsidRPr="00B72012">
        <w:t xml:space="preserve">. If a pollutant </w:t>
      </w:r>
      <w:r>
        <w:t>fails</w:t>
      </w:r>
      <w:r w:rsidRPr="00B72012">
        <w:t xml:space="preserve"> the initial screen, </w:t>
      </w:r>
      <w:r>
        <w:t xml:space="preserve">indicating potential risk to human health and/or the environment, </w:t>
      </w:r>
      <w:r w:rsidRPr="00B72012">
        <w:t xml:space="preserve">EPA will determine whether an additional higher-tier </w:t>
      </w:r>
      <w:r>
        <w:t xml:space="preserve">(probabilistic) </w:t>
      </w:r>
      <w:r w:rsidRPr="00B72012">
        <w:t xml:space="preserve">assessment is needed to </w:t>
      </w:r>
      <w:r>
        <w:t xml:space="preserve">further </w:t>
      </w:r>
      <w:r w:rsidRPr="00B72012">
        <w:t xml:space="preserve">assess </w:t>
      </w:r>
      <w:r>
        <w:t xml:space="preserve">potential </w:t>
      </w:r>
      <w:r w:rsidRPr="00B72012">
        <w:t xml:space="preserve">risks. Based on the higher-tiered assessment, EPA will determine if regulation under the CWA is </w:t>
      </w:r>
      <w:r>
        <w:t>appropriate.</w:t>
      </w:r>
    </w:p>
    <w:p w14:paraId="249C57B8" w14:textId="378599B8" w:rsidR="000F6815" w:rsidRDefault="00B174C2" w:rsidP="00173C25">
      <w:pPr>
        <w:pStyle w:val="BodyText"/>
      </w:pPr>
      <w:r>
        <w:t xml:space="preserve">All models have limitations that must be understood to properly parameterize </w:t>
      </w:r>
      <w:r w:rsidR="00733E31">
        <w:t xml:space="preserve">the inputs </w:t>
      </w:r>
      <w:r>
        <w:t xml:space="preserve">and to understand the outputs. The BST uses a broad range of information from chemistry, environmental fate and exposure science, and toxicity; </w:t>
      </w:r>
      <w:r w:rsidR="001A3062">
        <w:t>you</w:t>
      </w:r>
      <w:r>
        <w:t xml:space="preserve"> must have a sufficient understanding of all these areas to generate meaningful risk estimates. The last section of th</w:t>
      </w:r>
      <w:r w:rsidR="00253FB5">
        <w:t>is</w:t>
      </w:r>
      <w:r>
        <w:t xml:space="preserve"> </w:t>
      </w:r>
      <w:r w:rsidR="00253FB5">
        <w:t xml:space="preserve">User’s Guide </w:t>
      </w:r>
      <w:r>
        <w:t xml:space="preserve">lists limitations that </w:t>
      </w:r>
      <w:r w:rsidR="001A3062">
        <w:t>you</w:t>
      </w:r>
      <w:r>
        <w:t xml:space="preserve"> should be aware of in general, but this is not a complete listing of model limitations that may apply to the range of chemicals that occur in biosolids. This tool was developed mainly for screening</w:t>
      </w:r>
      <w:r w:rsidR="003D07E2">
        <w:t xml:space="preserve"> risk</w:t>
      </w:r>
      <w:r>
        <w:t xml:space="preserve"> assessments, but it is essential that </w:t>
      </w:r>
      <w:r w:rsidR="001A3062">
        <w:t>you</w:t>
      </w:r>
      <w:r>
        <w:t xml:space="preserve"> properly parameterize the model to obtain high</w:t>
      </w:r>
      <w:r w:rsidR="00253FB5">
        <w:t>-</w:t>
      </w:r>
      <w:r>
        <w:t>end exposures.</w:t>
      </w:r>
    </w:p>
    <w:p w14:paraId="10DF2514" w14:textId="09DFD3A3" w:rsidR="00B174C2" w:rsidRDefault="00B174C2">
      <w:pPr>
        <w:rPr>
          <w:rFonts w:ascii="Times New Roman" w:eastAsia="Times New Roman" w:hAnsi="Times New Roman" w:cs="Times New Roman"/>
          <w:sz w:val="24"/>
          <w:szCs w:val="24"/>
          <w:lang w:eastAsia="x-none"/>
        </w:rPr>
      </w:pPr>
      <w:r>
        <w:br w:type="page"/>
      </w:r>
    </w:p>
    <w:p w14:paraId="6AC6BBC6" w14:textId="77777777" w:rsidR="00B174C2" w:rsidRPr="00173C25" w:rsidRDefault="00B174C2" w:rsidP="00173C25">
      <w:pPr>
        <w:pStyle w:val="BodyText"/>
      </w:pPr>
    </w:p>
    <w:p w14:paraId="1CDDEE36" w14:textId="77777777" w:rsidR="000F6815" w:rsidRPr="00450759" w:rsidRDefault="000F6815" w:rsidP="005D1672">
      <w:pPr>
        <w:pStyle w:val="TOC0"/>
      </w:pPr>
      <w:bookmarkStart w:id="10" w:name="_Toc128041921"/>
      <w:r w:rsidRPr="00664A22">
        <w:t>Acknowledgements</w:t>
      </w:r>
      <w:bookmarkEnd w:id="9"/>
      <w:bookmarkEnd w:id="10"/>
    </w:p>
    <w:p w14:paraId="09084238" w14:textId="77777777" w:rsidR="000F6815" w:rsidRDefault="000F6815" w:rsidP="000F6815">
      <w:pPr>
        <w:rPr>
          <w:rFonts w:ascii="Times New Roman" w:hAnsi="Times New Roman" w:cs="Times New Roman"/>
          <w:sz w:val="24"/>
          <w:szCs w:val="24"/>
        </w:rPr>
      </w:pPr>
      <w:bookmarkStart w:id="11" w:name="_Hlk95914915"/>
      <w:r w:rsidRPr="3A11D7F0">
        <w:rPr>
          <w:rFonts w:ascii="Times New Roman" w:hAnsi="Times New Roman" w:cs="Times New Roman"/>
          <w:sz w:val="24"/>
          <w:szCs w:val="24"/>
        </w:rPr>
        <w:t xml:space="preserve">The EPA gratefully acknowledges Robert </w:t>
      </w:r>
      <w:proofErr w:type="spellStart"/>
      <w:r w:rsidRPr="3A11D7F0">
        <w:rPr>
          <w:rFonts w:ascii="Times New Roman" w:hAnsi="Times New Roman" w:cs="Times New Roman"/>
          <w:sz w:val="24"/>
          <w:szCs w:val="24"/>
        </w:rPr>
        <w:t>Brobst</w:t>
      </w:r>
      <w:proofErr w:type="spellEnd"/>
      <w:r w:rsidRPr="3A11D7F0">
        <w:rPr>
          <w:rFonts w:ascii="Times New Roman" w:hAnsi="Times New Roman" w:cs="Times New Roman"/>
          <w:sz w:val="24"/>
          <w:szCs w:val="24"/>
        </w:rPr>
        <w:t xml:space="preserve">, P.E., for his contributions to plant-available nitrogen (PAN) calculation methodology and the use of the Colorado Department of Public Health &amp; Environment’s PAN and agronomic spreadsheet calculation tool (CDPHE, 2018), which was used as described in </w:t>
      </w:r>
      <w:r w:rsidRPr="3A11D7F0">
        <w:rPr>
          <w:rFonts w:ascii="Times New Roman" w:hAnsi="Times New Roman" w:cs="Times New Roman"/>
          <w:b/>
          <w:bCs/>
          <w:sz w:val="24"/>
          <w:szCs w:val="24"/>
        </w:rPr>
        <w:t>Appendix E</w:t>
      </w:r>
      <w:r w:rsidRPr="3A11D7F0">
        <w:rPr>
          <w:rFonts w:ascii="Times New Roman" w:hAnsi="Times New Roman" w:cs="Times New Roman"/>
          <w:sz w:val="24"/>
          <w:szCs w:val="24"/>
        </w:rPr>
        <w:t xml:space="preserve"> to validate the application rates used in the Tool. </w:t>
      </w:r>
    </w:p>
    <w:p w14:paraId="1CE12574" w14:textId="378C1DBB" w:rsidR="000F6815" w:rsidRDefault="000F6815" w:rsidP="000F6815">
      <w:pPr>
        <w:rPr>
          <w:rFonts w:ascii="Times New Roman" w:hAnsi="Times New Roman" w:cs="Times New Roman"/>
          <w:sz w:val="24"/>
          <w:szCs w:val="24"/>
        </w:rPr>
      </w:pPr>
      <w:r>
        <w:rPr>
          <w:rFonts w:ascii="Times New Roman" w:hAnsi="Times New Roman" w:cs="Times New Roman"/>
          <w:sz w:val="24"/>
          <w:szCs w:val="24"/>
        </w:rPr>
        <w:t>The EPA also thanks scientists and</w:t>
      </w:r>
      <w:r w:rsidRPr="00250F11">
        <w:rPr>
          <w:rFonts w:ascii="Times New Roman" w:hAnsi="Times New Roman" w:cs="Times New Roman"/>
          <w:sz w:val="24"/>
          <w:szCs w:val="24"/>
        </w:rPr>
        <w:t xml:space="preserve"> </w:t>
      </w:r>
      <w:r>
        <w:rPr>
          <w:rFonts w:ascii="Times New Roman" w:hAnsi="Times New Roman" w:cs="Times New Roman"/>
          <w:sz w:val="24"/>
          <w:szCs w:val="24"/>
        </w:rPr>
        <w:t xml:space="preserve">staff at Research Triangle Institute (RTI), who developed this tool and associated </w:t>
      </w:r>
      <w:r w:rsidR="001A3062">
        <w:rPr>
          <w:rFonts w:ascii="Times New Roman" w:hAnsi="Times New Roman" w:cs="Times New Roman"/>
          <w:sz w:val="24"/>
          <w:szCs w:val="24"/>
        </w:rPr>
        <w:t>U</w:t>
      </w:r>
      <w:r>
        <w:rPr>
          <w:rFonts w:ascii="Times New Roman" w:hAnsi="Times New Roman" w:cs="Times New Roman"/>
          <w:sz w:val="24"/>
          <w:szCs w:val="24"/>
        </w:rPr>
        <w:t xml:space="preserve">ser’s </w:t>
      </w:r>
      <w:r w:rsidR="001A3062">
        <w:rPr>
          <w:rFonts w:ascii="Times New Roman" w:hAnsi="Times New Roman" w:cs="Times New Roman"/>
          <w:sz w:val="24"/>
          <w:szCs w:val="24"/>
        </w:rPr>
        <w:t>Guide</w:t>
      </w:r>
      <w:r>
        <w:rPr>
          <w:rFonts w:ascii="Times New Roman" w:hAnsi="Times New Roman" w:cs="Times New Roman"/>
          <w:sz w:val="24"/>
          <w:szCs w:val="24"/>
        </w:rPr>
        <w:t>. (EPA Contract NO. 68HERC20D0019 Task Order: PR-OW-20-00582.</w:t>
      </w:r>
    </w:p>
    <w:p w14:paraId="04669515" w14:textId="77777777" w:rsidR="000F6815" w:rsidRDefault="000F6815" w:rsidP="000F6815">
      <w:pPr>
        <w:rPr>
          <w:rFonts w:ascii="Times New Roman" w:hAnsi="Times New Roman" w:cs="Times New Roman"/>
          <w:sz w:val="24"/>
          <w:szCs w:val="24"/>
        </w:rPr>
      </w:pPr>
      <w:r>
        <w:rPr>
          <w:rFonts w:ascii="Times New Roman" w:hAnsi="Times New Roman" w:cs="Times New Roman"/>
          <w:sz w:val="24"/>
          <w:szCs w:val="24"/>
        </w:rPr>
        <w:br w:type="page"/>
      </w:r>
    </w:p>
    <w:p w14:paraId="6E71F41C" w14:textId="77777777" w:rsidR="000F6815" w:rsidRDefault="000F6815" w:rsidP="005D1672">
      <w:pPr>
        <w:pStyle w:val="TOC0"/>
      </w:pPr>
      <w:bookmarkStart w:id="12" w:name="_Toc128041922"/>
      <w:r>
        <w:lastRenderedPageBreak/>
        <w:t>Table of Contents</w:t>
      </w:r>
      <w:bookmarkEnd w:id="12"/>
    </w:p>
    <w:p w14:paraId="0D2D9D80" w14:textId="4926964B" w:rsidR="00F65FC4" w:rsidRDefault="000F6815">
      <w:pPr>
        <w:pStyle w:val="TOC1"/>
        <w:rPr>
          <w:rFonts w:asciiTheme="minorHAnsi" w:eastAsiaTheme="minorEastAsia" w:hAnsiTheme="minorHAnsi" w:cstheme="minorBidi"/>
          <w:b w:val="0"/>
          <w:bCs w:val="0"/>
          <w:noProof/>
          <w:szCs w:val="22"/>
        </w:rPr>
      </w:pPr>
      <w:r>
        <w:rPr>
          <w:sz w:val="24"/>
          <w:szCs w:val="24"/>
        </w:rPr>
        <w:fldChar w:fldCharType="begin"/>
      </w:r>
      <w:r>
        <w:rPr>
          <w:sz w:val="24"/>
          <w:szCs w:val="24"/>
        </w:rPr>
        <w:instrText xml:space="preserve"> TOC \o "3-3" \h \z \t "Heading 1,1,Heading 2,2,TOC 0,1" </w:instrText>
      </w:r>
      <w:r>
        <w:rPr>
          <w:sz w:val="24"/>
          <w:szCs w:val="24"/>
        </w:rPr>
        <w:fldChar w:fldCharType="separate"/>
      </w:r>
      <w:hyperlink w:anchor="_Toc128041920" w:history="1">
        <w:r w:rsidR="00F65FC4" w:rsidRPr="00A92D78">
          <w:rPr>
            <w:rStyle w:val="Hyperlink"/>
            <w:noProof/>
          </w:rPr>
          <w:t>Scope and Purpose</w:t>
        </w:r>
        <w:r w:rsidR="00F65FC4">
          <w:rPr>
            <w:noProof/>
            <w:webHidden/>
          </w:rPr>
          <w:tab/>
        </w:r>
        <w:r w:rsidR="00F65FC4">
          <w:rPr>
            <w:noProof/>
            <w:webHidden/>
          </w:rPr>
          <w:fldChar w:fldCharType="begin"/>
        </w:r>
        <w:r w:rsidR="00F65FC4">
          <w:rPr>
            <w:noProof/>
            <w:webHidden/>
          </w:rPr>
          <w:instrText xml:space="preserve"> PAGEREF _Toc128041920 \h </w:instrText>
        </w:r>
        <w:r w:rsidR="00F65FC4">
          <w:rPr>
            <w:noProof/>
            <w:webHidden/>
          </w:rPr>
        </w:r>
        <w:r w:rsidR="00F65FC4">
          <w:rPr>
            <w:noProof/>
            <w:webHidden/>
          </w:rPr>
          <w:fldChar w:fldCharType="separate"/>
        </w:r>
        <w:r w:rsidR="00F65FC4">
          <w:rPr>
            <w:noProof/>
            <w:webHidden/>
          </w:rPr>
          <w:t>ii</w:t>
        </w:r>
        <w:r w:rsidR="00F65FC4">
          <w:rPr>
            <w:noProof/>
            <w:webHidden/>
          </w:rPr>
          <w:fldChar w:fldCharType="end"/>
        </w:r>
      </w:hyperlink>
    </w:p>
    <w:p w14:paraId="29FFE3B6" w14:textId="5C4FBE25" w:rsidR="00F65FC4" w:rsidRDefault="00F65FC4">
      <w:pPr>
        <w:pStyle w:val="TOC1"/>
        <w:rPr>
          <w:rFonts w:asciiTheme="minorHAnsi" w:eastAsiaTheme="minorEastAsia" w:hAnsiTheme="minorHAnsi" w:cstheme="minorBidi"/>
          <w:b w:val="0"/>
          <w:bCs w:val="0"/>
          <w:noProof/>
          <w:szCs w:val="22"/>
        </w:rPr>
      </w:pPr>
      <w:hyperlink w:anchor="_Toc128041921" w:history="1">
        <w:r w:rsidRPr="00A92D78">
          <w:rPr>
            <w:rStyle w:val="Hyperlink"/>
            <w:noProof/>
          </w:rPr>
          <w:t>Acknowledgements</w:t>
        </w:r>
        <w:r>
          <w:rPr>
            <w:noProof/>
            <w:webHidden/>
          </w:rPr>
          <w:tab/>
        </w:r>
        <w:r>
          <w:rPr>
            <w:noProof/>
            <w:webHidden/>
          </w:rPr>
          <w:fldChar w:fldCharType="begin"/>
        </w:r>
        <w:r>
          <w:rPr>
            <w:noProof/>
            <w:webHidden/>
          </w:rPr>
          <w:instrText xml:space="preserve"> PAGEREF _Toc128041921 \h </w:instrText>
        </w:r>
        <w:r>
          <w:rPr>
            <w:noProof/>
            <w:webHidden/>
          </w:rPr>
        </w:r>
        <w:r>
          <w:rPr>
            <w:noProof/>
            <w:webHidden/>
          </w:rPr>
          <w:fldChar w:fldCharType="separate"/>
        </w:r>
        <w:r>
          <w:rPr>
            <w:noProof/>
            <w:webHidden/>
          </w:rPr>
          <w:t>iii</w:t>
        </w:r>
        <w:r>
          <w:rPr>
            <w:noProof/>
            <w:webHidden/>
          </w:rPr>
          <w:fldChar w:fldCharType="end"/>
        </w:r>
      </w:hyperlink>
    </w:p>
    <w:p w14:paraId="58CF7709" w14:textId="4ADC95D7" w:rsidR="00F65FC4" w:rsidRDefault="00F65FC4">
      <w:pPr>
        <w:pStyle w:val="TOC1"/>
        <w:rPr>
          <w:rFonts w:asciiTheme="minorHAnsi" w:eastAsiaTheme="minorEastAsia" w:hAnsiTheme="minorHAnsi" w:cstheme="minorBidi"/>
          <w:b w:val="0"/>
          <w:bCs w:val="0"/>
          <w:noProof/>
          <w:szCs w:val="22"/>
        </w:rPr>
      </w:pPr>
      <w:hyperlink w:anchor="_Toc128041922" w:history="1">
        <w:r w:rsidRPr="00A92D78">
          <w:rPr>
            <w:rStyle w:val="Hyperlink"/>
            <w:noProof/>
          </w:rPr>
          <w:t>Table of Contents</w:t>
        </w:r>
        <w:r>
          <w:rPr>
            <w:noProof/>
            <w:webHidden/>
          </w:rPr>
          <w:tab/>
        </w:r>
        <w:r>
          <w:rPr>
            <w:noProof/>
            <w:webHidden/>
          </w:rPr>
          <w:fldChar w:fldCharType="begin"/>
        </w:r>
        <w:r>
          <w:rPr>
            <w:noProof/>
            <w:webHidden/>
          </w:rPr>
          <w:instrText xml:space="preserve"> PAGEREF _Toc128041922 \h </w:instrText>
        </w:r>
        <w:r>
          <w:rPr>
            <w:noProof/>
            <w:webHidden/>
          </w:rPr>
        </w:r>
        <w:r>
          <w:rPr>
            <w:noProof/>
            <w:webHidden/>
          </w:rPr>
          <w:fldChar w:fldCharType="separate"/>
        </w:r>
        <w:r>
          <w:rPr>
            <w:noProof/>
            <w:webHidden/>
          </w:rPr>
          <w:t>iv</w:t>
        </w:r>
        <w:r>
          <w:rPr>
            <w:noProof/>
            <w:webHidden/>
          </w:rPr>
          <w:fldChar w:fldCharType="end"/>
        </w:r>
      </w:hyperlink>
    </w:p>
    <w:p w14:paraId="2A167DC5" w14:textId="78CF2DFF" w:rsidR="00F65FC4" w:rsidRDefault="00F65FC4">
      <w:pPr>
        <w:pStyle w:val="TOC1"/>
        <w:rPr>
          <w:rFonts w:asciiTheme="minorHAnsi" w:eastAsiaTheme="minorEastAsia" w:hAnsiTheme="minorHAnsi" w:cstheme="minorBidi"/>
          <w:b w:val="0"/>
          <w:bCs w:val="0"/>
          <w:noProof/>
          <w:szCs w:val="22"/>
        </w:rPr>
      </w:pPr>
      <w:hyperlink w:anchor="_Toc128041923" w:history="1">
        <w:r w:rsidRPr="00A92D78">
          <w:rPr>
            <w:rStyle w:val="Hyperlink"/>
            <w:noProof/>
          </w:rPr>
          <w:t>List of Figures</w:t>
        </w:r>
        <w:r>
          <w:rPr>
            <w:noProof/>
            <w:webHidden/>
          </w:rPr>
          <w:tab/>
        </w:r>
        <w:r>
          <w:rPr>
            <w:noProof/>
            <w:webHidden/>
          </w:rPr>
          <w:fldChar w:fldCharType="begin"/>
        </w:r>
        <w:r>
          <w:rPr>
            <w:noProof/>
            <w:webHidden/>
          </w:rPr>
          <w:instrText xml:space="preserve"> PAGEREF _Toc128041923 \h </w:instrText>
        </w:r>
        <w:r>
          <w:rPr>
            <w:noProof/>
            <w:webHidden/>
          </w:rPr>
        </w:r>
        <w:r>
          <w:rPr>
            <w:noProof/>
            <w:webHidden/>
          </w:rPr>
          <w:fldChar w:fldCharType="separate"/>
        </w:r>
        <w:r>
          <w:rPr>
            <w:noProof/>
            <w:webHidden/>
          </w:rPr>
          <w:t>v</w:t>
        </w:r>
        <w:r>
          <w:rPr>
            <w:noProof/>
            <w:webHidden/>
          </w:rPr>
          <w:fldChar w:fldCharType="end"/>
        </w:r>
      </w:hyperlink>
    </w:p>
    <w:p w14:paraId="3BE3BED1" w14:textId="751CE5FA" w:rsidR="00F65FC4" w:rsidRDefault="00F65FC4">
      <w:pPr>
        <w:pStyle w:val="TOC1"/>
        <w:rPr>
          <w:rFonts w:asciiTheme="minorHAnsi" w:eastAsiaTheme="minorEastAsia" w:hAnsiTheme="minorHAnsi" w:cstheme="minorBidi"/>
          <w:b w:val="0"/>
          <w:bCs w:val="0"/>
          <w:noProof/>
          <w:szCs w:val="22"/>
        </w:rPr>
      </w:pPr>
      <w:hyperlink w:anchor="_Toc128041924" w:history="1">
        <w:r w:rsidRPr="00A92D78">
          <w:rPr>
            <w:rStyle w:val="Hyperlink"/>
            <w:noProof/>
          </w:rPr>
          <w:t>1.</w:t>
        </w:r>
        <w:r>
          <w:rPr>
            <w:rFonts w:asciiTheme="minorHAnsi" w:eastAsiaTheme="minorEastAsia" w:hAnsiTheme="minorHAnsi" w:cstheme="minorBidi"/>
            <w:b w:val="0"/>
            <w:bCs w:val="0"/>
            <w:noProof/>
            <w:szCs w:val="22"/>
          </w:rPr>
          <w:tab/>
        </w:r>
        <w:r w:rsidRPr="00A92D78">
          <w:rPr>
            <w:rStyle w:val="Hyperlink"/>
            <w:noProof/>
          </w:rPr>
          <w:t>Introduction</w:t>
        </w:r>
        <w:r>
          <w:rPr>
            <w:noProof/>
            <w:webHidden/>
          </w:rPr>
          <w:tab/>
        </w:r>
        <w:r>
          <w:rPr>
            <w:noProof/>
            <w:webHidden/>
          </w:rPr>
          <w:fldChar w:fldCharType="begin"/>
        </w:r>
        <w:r>
          <w:rPr>
            <w:noProof/>
            <w:webHidden/>
          </w:rPr>
          <w:instrText xml:space="preserve"> PAGEREF _Toc128041924 \h </w:instrText>
        </w:r>
        <w:r>
          <w:rPr>
            <w:noProof/>
            <w:webHidden/>
          </w:rPr>
        </w:r>
        <w:r>
          <w:rPr>
            <w:noProof/>
            <w:webHidden/>
          </w:rPr>
          <w:fldChar w:fldCharType="separate"/>
        </w:r>
        <w:r>
          <w:rPr>
            <w:noProof/>
            <w:webHidden/>
          </w:rPr>
          <w:t>1</w:t>
        </w:r>
        <w:r>
          <w:rPr>
            <w:noProof/>
            <w:webHidden/>
          </w:rPr>
          <w:fldChar w:fldCharType="end"/>
        </w:r>
      </w:hyperlink>
    </w:p>
    <w:p w14:paraId="2B1C2002" w14:textId="19F3CC37" w:rsidR="00F65FC4" w:rsidRDefault="00F65FC4">
      <w:pPr>
        <w:pStyle w:val="TOC2"/>
        <w:rPr>
          <w:rFonts w:asciiTheme="minorHAnsi" w:eastAsiaTheme="minorEastAsia" w:hAnsiTheme="minorHAnsi" w:cstheme="minorBidi"/>
          <w:noProof/>
          <w:szCs w:val="22"/>
        </w:rPr>
      </w:pPr>
      <w:hyperlink w:anchor="_Toc128041925" w:history="1">
        <w:r w:rsidRPr="00A92D78">
          <w:rPr>
            <w:rStyle w:val="Hyperlink"/>
            <w:noProof/>
          </w:rPr>
          <w:t>1.1</w:t>
        </w:r>
        <w:r>
          <w:rPr>
            <w:rFonts w:asciiTheme="minorHAnsi" w:eastAsiaTheme="minorEastAsia" w:hAnsiTheme="minorHAnsi" w:cstheme="minorBidi"/>
            <w:noProof/>
            <w:szCs w:val="22"/>
          </w:rPr>
          <w:tab/>
        </w:r>
        <w:r w:rsidRPr="00A92D78">
          <w:rPr>
            <w:rStyle w:val="Hyperlink"/>
            <w:noProof/>
          </w:rPr>
          <w:t>Overview of the Biosolids Tool</w:t>
        </w:r>
        <w:r>
          <w:rPr>
            <w:noProof/>
            <w:webHidden/>
          </w:rPr>
          <w:tab/>
        </w:r>
        <w:r>
          <w:rPr>
            <w:noProof/>
            <w:webHidden/>
          </w:rPr>
          <w:fldChar w:fldCharType="begin"/>
        </w:r>
        <w:r>
          <w:rPr>
            <w:noProof/>
            <w:webHidden/>
          </w:rPr>
          <w:instrText xml:space="preserve"> PAGEREF _Toc128041925 \h </w:instrText>
        </w:r>
        <w:r>
          <w:rPr>
            <w:noProof/>
            <w:webHidden/>
          </w:rPr>
        </w:r>
        <w:r>
          <w:rPr>
            <w:noProof/>
            <w:webHidden/>
          </w:rPr>
          <w:fldChar w:fldCharType="separate"/>
        </w:r>
        <w:r>
          <w:rPr>
            <w:noProof/>
            <w:webHidden/>
          </w:rPr>
          <w:t>1</w:t>
        </w:r>
        <w:r>
          <w:rPr>
            <w:noProof/>
            <w:webHidden/>
          </w:rPr>
          <w:fldChar w:fldCharType="end"/>
        </w:r>
      </w:hyperlink>
    </w:p>
    <w:p w14:paraId="7104BC86" w14:textId="1E959E0B" w:rsidR="00F65FC4" w:rsidRDefault="00F65FC4">
      <w:pPr>
        <w:pStyle w:val="TOC2"/>
        <w:rPr>
          <w:rFonts w:asciiTheme="minorHAnsi" w:eastAsiaTheme="minorEastAsia" w:hAnsiTheme="minorHAnsi" w:cstheme="minorBidi"/>
          <w:noProof/>
          <w:szCs w:val="22"/>
        </w:rPr>
      </w:pPr>
      <w:hyperlink w:anchor="_Toc128041926" w:history="1">
        <w:r w:rsidRPr="00A92D78">
          <w:rPr>
            <w:rStyle w:val="Hyperlink"/>
            <w:noProof/>
          </w:rPr>
          <w:t>1.2</w:t>
        </w:r>
        <w:r>
          <w:rPr>
            <w:rFonts w:asciiTheme="minorHAnsi" w:eastAsiaTheme="minorEastAsia" w:hAnsiTheme="minorHAnsi" w:cstheme="minorBidi"/>
            <w:noProof/>
            <w:szCs w:val="22"/>
          </w:rPr>
          <w:tab/>
        </w:r>
        <w:r w:rsidRPr="00A92D78">
          <w:rPr>
            <w:rStyle w:val="Hyperlink"/>
            <w:noProof/>
          </w:rPr>
          <w:t>Organization of this User’s Guide</w:t>
        </w:r>
        <w:r>
          <w:rPr>
            <w:noProof/>
            <w:webHidden/>
          </w:rPr>
          <w:tab/>
        </w:r>
        <w:r>
          <w:rPr>
            <w:noProof/>
            <w:webHidden/>
          </w:rPr>
          <w:fldChar w:fldCharType="begin"/>
        </w:r>
        <w:r>
          <w:rPr>
            <w:noProof/>
            <w:webHidden/>
          </w:rPr>
          <w:instrText xml:space="preserve"> PAGEREF _Toc128041926 \h </w:instrText>
        </w:r>
        <w:r>
          <w:rPr>
            <w:noProof/>
            <w:webHidden/>
          </w:rPr>
        </w:r>
        <w:r>
          <w:rPr>
            <w:noProof/>
            <w:webHidden/>
          </w:rPr>
          <w:fldChar w:fldCharType="separate"/>
        </w:r>
        <w:r>
          <w:rPr>
            <w:noProof/>
            <w:webHidden/>
          </w:rPr>
          <w:t>5</w:t>
        </w:r>
        <w:r>
          <w:rPr>
            <w:noProof/>
            <w:webHidden/>
          </w:rPr>
          <w:fldChar w:fldCharType="end"/>
        </w:r>
      </w:hyperlink>
    </w:p>
    <w:p w14:paraId="5DC14BAD" w14:textId="6BBB95DA" w:rsidR="00F65FC4" w:rsidRDefault="00F65FC4">
      <w:pPr>
        <w:pStyle w:val="TOC1"/>
        <w:rPr>
          <w:rFonts w:asciiTheme="minorHAnsi" w:eastAsiaTheme="minorEastAsia" w:hAnsiTheme="minorHAnsi" w:cstheme="minorBidi"/>
          <w:b w:val="0"/>
          <w:bCs w:val="0"/>
          <w:noProof/>
          <w:szCs w:val="22"/>
        </w:rPr>
      </w:pPr>
      <w:hyperlink w:anchor="_Toc128041927" w:history="1">
        <w:r w:rsidRPr="00A92D78">
          <w:rPr>
            <w:rStyle w:val="Hyperlink"/>
            <w:noProof/>
          </w:rPr>
          <w:t>2.</w:t>
        </w:r>
        <w:r>
          <w:rPr>
            <w:rFonts w:asciiTheme="minorHAnsi" w:eastAsiaTheme="minorEastAsia" w:hAnsiTheme="minorHAnsi" w:cstheme="minorBidi"/>
            <w:b w:val="0"/>
            <w:bCs w:val="0"/>
            <w:noProof/>
            <w:szCs w:val="22"/>
          </w:rPr>
          <w:tab/>
        </w:r>
        <w:r w:rsidRPr="00A92D78">
          <w:rPr>
            <w:rStyle w:val="Hyperlink"/>
            <w:noProof/>
          </w:rPr>
          <w:t>Install and Launch the Biosolids Tool</w:t>
        </w:r>
        <w:r>
          <w:rPr>
            <w:noProof/>
            <w:webHidden/>
          </w:rPr>
          <w:tab/>
        </w:r>
        <w:r>
          <w:rPr>
            <w:noProof/>
            <w:webHidden/>
          </w:rPr>
          <w:fldChar w:fldCharType="begin"/>
        </w:r>
        <w:r>
          <w:rPr>
            <w:noProof/>
            <w:webHidden/>
          </w:rPr>
          <w:instrText xml:space="preserve"> PAGEREF _Toc128041927 \h </w:instrText>
        </w:r>
        <w:r>
          <w:rPr>
            <w:noProof/>
            <w:webHidden/>
          </w:rPr>
        </w:r>
        <w:r>
          <w:rPr>
            <w:noProof/>
            <w:webHidden/>
          </w:rPr>
          <w:fldChar w:fldCharType="separate"/>
        </w:r>
        <w:r>
          <w:rPr>
            <w:noProof/>
            <w:webHidden/>
          </w:rPr>
          <w:t>6</w:t>
        </w:r>
        <w:r>
          <w:rPr>
            <w:noProof/>
            <w:webHidden/>
          </w:rPr>
          <w:fldChar w:fldCharType="end"/>
        </w:r>
      </w:hyperlink>
    </w:p>
    <w:p w14:paraId="5B81145F" w14:textId="7C986240" w:rsidR="00F65FC4" w:rsidRDefault="00F65FC4">
      <w:pPr>
        <w:pStyle w:val="TOC1"/>
        <w:rPr>
          <w:rFonts w:asciiTheme="minorHAnsi" w:eastAsiaTheme="minorEastAsia" w:hAnsiTheme="minorHAnsi" w:cstheme="minorBidi"/>
          <w:b w:val="0"/>
          <w:bCs w:val="0"/>
          <w:noProof/>
          <w:szCs w:val="22"/>
        </w:rPr>
      </w:pPr>
      <w:hyperlink w:anchor="_Toc128041928" w:history="1">
        <w:r w:rsidRPr="00A92D78">
          <w:rPr>
            <w:rStyle w:val="Hyperlink"/>
            <w:noProof/>
          </w:rPr>
          <w:t>3.</w:t>
        </w:r>
        <w:r>
          <w:rPr>
            <w:rFonts w:asciiTheme="minorHAnsi" w:eastAsiaTheme="minorEastAsia" w:hAnsiTheme="minorHAnsi" w:cstheme="minorBidi"/>
            <w:b w:val="0"/>
            <w:bCs w:val="0"/>
            <w:noProof/>
            <w:szCs w:val="22"/>
          </w:rPr>
          <w:tab/>
        </w:r>
        <w:r w:rsidRPr="00A92D78">
          <w:rPr>
            <w:rStyle w:val="Hyperlink"/>
            <w:noProof/>
          </w:rPr>
          <w:t>Configure an Analysis</w:t>
        </w:r>
        <w:r>
          <w:rPr>
            <w:noProof/>
            <w:webHidden/>
          </w:rPr>
          <w:tab/>
        </w:r>
        <w:r>
          <w:rPr>
            <w:noProof/>
            <w:webHidden/>
          </w:rPr>
          <w:fldChar w:fldCharType="begin"/>
        </w:r>
        <w:r>
          <w:rPr>
            <w:noProof/>
            <w:webHidden/>
          </w:rPr>
          <w:instrText xml:space="preserve"> PAGEREF _Toc128041928 \h </w:instrText>
        </w:r>
        <w:r>
          <w:rPr>
            <w:noProof/>
            <w:webHidden/>
          </w:rPr>
        </w:r>
        <w:r>
          <w:rPr>
            <w:noProof/>
            <w:webHidden/>
          </w:rPr>
          <w:fldChar w:fldCharType="separate"/>
        </w:r>
        <w:r>
          <w:rPr>
            <w:noProof/>
            <w:webHidden/>
          </w:rPr>
          <w:t>9</w:t>
        </w:r>
        <w:r>
          <w:rPr>
            <w:noProof/>
            <w:webHidden/>
          </w:rPr>
          <w:fldChar w:fldCharType="end"/>
        </w:r>
      </w:hyperlink>
    </w:p>
    <w:p w14:paraId="01F76944" w14:textId="40400F81" w:rsidR="00F65FC4" w:rsidRDefault="00F65FC4">
      <w:pPr>
        <w:pStyle w:val="TOC2"/>
        <w:rPr>
          <w:rFonts w:asciiTheme="minorHAnsi" w:eastAsiaTheme="minorEastAsia" w:hAnsiTheme="minorHAnsi" w:cstheme="minorBidi"/>
          <w:noProof/>
          <w:szCs w:val="22"/>
        </w:rPr>
      </w:pPr>
      <w:hyperlink w:anchor="_Toc128041929" w:history="1">
        <w:r w:rsidRPr="00A92D78">
          <w:rPr>
            <w:rStyle w:val="Hyperlink"/>
            <w:noProof/>
          </w:rPr>
          <w:t>3.1</w:t>
        </w:r>
        <w:r>
          <w:rPr>
            <w:rFonts w:asciiTheme="minorHAnsi" w:eastAsiaTheme="minorEastAsia" w:hAnsiTheme="minorHAnsi" w:cstheme="minorBidi"/>
            <w:noProof/>
            <w:szCs w:val="22"/>
          </w:rPr>
          <w:tab/>
        </w:r>
        <w:r w:rsidRPr="00A92D78">
          <w:rPr>
            <w:rStyle w:val="Hyperlink"/>
            <w:noProof/>
          </w:rPr>
          <w:t>Configure Modeling Scenarios and Site Parameters</w:t>
        </w:r>
        <w:r>
          <w:rPr>
            <w:noProof/>
            <w:webHidden/>
          </w:rPr>
          <w:tab/>
        </w:r>
        <w:r>
          <w:rPr>
            <w:noProof/>
            <w:webHidden/>
          </w:rPr>
          <w:fldChar w:fldCharType="begin"/>
        </w:r>
        <w:r>
          <w:rPr>
            <w:noProof/>
            <w:webHidden/>
          </w:rPr>
          <w:instrText xml:space="preserve"> PAGEREF _Toc128041929 \h </w:instrText>
        </w:r>
        <w:r>
          <w:rPr>
            <w:noProof/>
            <w:webHidden/>
          </w:rPr>
        </w:r>
        <w:r>
          <w:rPr>
            <w:noProof/>
            <w:webHidden/>
          </w:rPr>
          <w:fldChar w:fldCharType="separate"/>
        </w:r>
        <w:r>
          <w:rPr>
            <w:noProof/>
            <w:webHidden/>
          </w:rPr>
          <w:t>9</w:t>
        </w:r>
        <w:r>
          <w:rPr>
            <w:noProof/>
            <w:webHidden/>
          </w:rPr>
          <w:fldChar w:fldCharType="end"/>
        </w:r>
      </w:hyperlink>
    </w:p>
    <w:p w14:paraId="0B8E06A3" w14:textId="2A30D1E5" w:rsidR="00F65FC4" w:rsidRDefault="00F65FC4">
      <w:pPr>
        <w:pStyle w:val="TOC3"/>
        <w:rPr>
          <w:rFonts w:asciiTheme="minorHAnsi" w:eastAsiaTheme="minorEastAsia" w:hAnsiTheme="minorHAnsi" w:cstheme="minorBidi"/>
          <w:szCs w:val="22"/>
        </w:rPr>
      </w:pPr>
      <w:hyperlink w:anchor="_Toc128041930" w:history="1">
        <w:r w:rsidRPr="00A92D78">
          <w:rPr>
            <w:rStyle w:val="Hyperlink"/>
          </w:rPr>
          <w:t>3.1.1</w:t>
        </w:r>
        <w:r>
          <w:rPr>
            <w:rFonts w:asciiTheme="minorHAnsi" w:eastAsiaTheme="minorEastAsia" w:hAnsiTheme="minorHAnsi" w:cstheme="minorBidi"/>
            <w:szCs w:val="22"/>
          </w:rPr>
          <w:tab/>
        </w:r>
        <w:r w:rsidRPr="00A92D78">
          <w:rPr>
            <w:rStyle w:val="Hyperlink"/>
          </w:rPr>
          <w:t>Configure an LAU</w:t>
        </w:r>
        <w:r>
          <w:rPr>
            <w:webHidden/>
          </w:rPr>
          <w:tab/>
        </w:r>
        <w:r>
          <w:rPr>
            <w:webHidden/>
          </w:rPr>
          <w:fldChar w:fldCharType="begin"/>
        </w:r>
        <w:r>
          <w:rPr>
            <w:webHidden/>
          </w:rPr>
          <w:instrText xml:space="preserve"> PAGEREF _Toc128041930 \h </w:instrText>
        </w:r>
        <w:r>
          <w:rPr>
            <w:webHidden/>
          </w:rPr>
        </w:r>
        <w:r>
          <w:rPr>
            <w:webHidden/>
          </w:rPr>
          <w:fldChar w:fldCharType="separate"/>
        </w:r>
        <w:r>
          <w:rPr>
            <w:webHidden/>
          </w:rPr>
          <w:t>10</w:t>
        </w:r>
        <w:r>
          <w:rPr>
            <w:webHidden/>
          </w:rPr>
          <w:fldChar w:fldCharType="end"/>
        </w:r>
      </w:hyperlink>
    </w:p>
    <w:p w14:paraId="62A13FC8" w14:textId="1059F473" w:rsidR="00F65FC4" w:rsidRDefault="00F65FC4">
      <w:pPr>
        <w:pStyle w:val="TOC3"/>
        <w:rPr>
          <w:rFonts w:asciiTheme="minorHAnsi" w:eastAsiaTheme="minorEastAsia" w:hAnsiTheme="minorHAnsi" w:cstheme="minorBidi"/>
          <w:szCs w:val="22"/>
        </w:rPr>
      </w:pPr>
      <w:hyperlink w:anchor="_Toc128041931" w:history="1">
        <w:r w:rsidRPr="00A92D78">
          <w:rPr>
            <w:rStyle w:val="Hyperlink"/>
          </w:rPr>
          <w:t>3.1.2</w:t>
        </w:r>
        <w:r>
          <w:rPr>
            <w:rFonts w:asciiTheme="minorHAnsi" w:eastAsiaTheme="minorEastAsia" w:hAnsiTheme="minorHAnsi" w:cstheme="minorBidi"/>
            <w:szCs w:val="22"/>
          </w:rPr>
          <w:tab/>
        </w:r>
        <w:r w:rsidRPr="00A92D78">
          <w:rPr>
            <w:rStyle w:val="Hyperlink"/>
          </w:rPr>
          <w:t>Configure a Surface Disposal Unit</w:t>
        </w:r>
        <w:r>
          <w:rPr>
            <w:webHidden/>
          </w:rPr>
          <w:tab/>
        </w:r>
        <w:r>
          <w:rPr>
            <w:webHidden/>
          </w:rPr>
          <w:fldChar w:fldCharType="begin"/>
        </w:r>
        <w:r>
          <w:rPr>
            <w:webHidden/>
          </w:rPr>
          <w:instrText xml:space="preserve"> PAGEREF _Toc128041931 \h </w:instrText>
        </w:r>
        <w:r>
          <w:rPr>
            <w:webHidden/>
          </w:rPr>
        </w:r>
        <w:r>
          <w:rPr>
            <w:webHidden/>
          </w:rPr>
          <w:fldChar w:fldCharType="separate"/>
        </w:r>
        <w:r>
          <w:rPr>
            <w:webHidden/>
          </w:rPr>
          <w:t>11</w:t>
        </w:r>
        <w:r>
          <w:rPr>
            <w:webHidden/>
          </w:rPr>
          <w:fldChar w:fldCharType="end"/>
        </w:r>
      </w:hyperlink>
    </w:p>
    <w:p w14:paraId="5F18BEB3" w14:textId="34799C2A" w:rsidR="00F65FC4" w:rsidRDefault="00F65FC4">
      <w:pPr>
        <w:pStyle w:val="TOC2"/>
        <w:rPr>
          <w:rFonts w:asciiTheme="minorHAnsi" w:eastAsiaTheme="minorEastAsia" w:hAnsiTheme="minorHAnsi" w:cstheme="minorBidi"/>
          <w:noProof/>
          <w:szCs w:val="22"/>
        </w:rPr>
      </w:pPr>
      <w:hyperlink w:anchor="_Toc128041932" w:history="1">
        <w:r w:rsidRPr="00A92D78">
          <w:rPr>
            <w:rStyle w:val="Hyperlink"/>
            <w:noProof/>
          </w:rPr>
          <w:t>3.2</w:t>
        </w:r>
        <w:r>
          <w:rPr>
            <w:rFonts w:asciiTheme="minorHAnsi" w:eastAsiaTheme="minorEastAsia" w:hAnsiTheme="minorHAnsi" w:cstheme="minorBidi"/>
            <w:noProof/>
            <w:szCs w:val="22"/>
          </w:rPr>
          <w:tab/>
        </w:r>
        <w:r w:rsidRPr="00A92D78">
          <w:rPr>
            <w:rStyle w:val="Hyperlink"/>
            <w:noProof/>
          </w:rPr>
          <w:t>Configure Chemicals</w:t>
        </w:r>
        <w:r>
          <w:rPr>
            <w:noProof/>
            <w:webHidden/>
          </w:rPr>
          <w:tab/>
        </w:r>
        <w:r>
          <w:rPr>
            <w:noProof/>
            <w:webHidden/>
          </w:rPr>
          <w:fldChar w:fldCharType="begin"/>
        </w:r>
        <w:r>
          <w:rPr>
            <w:noProof/>
            <w:webHidden/>
          </w:rPr>
          <w:instrText xml:space="preserve"> PAGEREF _Toc128041932 \h </w:instrText>
        </w:r>
        <w:r>
          <w:rPr>
            <w:noProof/>
            <w:webHidden/>
          </w:rPr>
        </w:r>
        <w:r>
          <w:rPr>
            <w:noProof/>
            <w:webHidden/>
          </w:rPr>
          <w:fldChar w:fldCharType="separate"/>
        </w:r>
        <w:r>
          <w:rPr>
            <w:noProof/>
            <w:webHidden/>
          </w:rPr>
          <w:t>11</w:t>
        </w:r>
        <w:r>
          <w:rPr>
            <w:noProof/>
            <w:webHidden/>
          </w:rPr>
          <w:fldChar w:fldCharType="end"/>
        </w:r>
      </w:hyperlink>
    </w:p>
    <w:p w14:paraId="5358CEE4" w14:textId="24142CD5" w:rsidR="00F65FC4" w:rsidRDefault="00F65FC4">
      <w:pPr>
        <w:pStyle w:val="TOC3"/>
        <w:rPr>
          <w:rFonts w:asciiTheme="minorHAnsi" w:eastAsiaTheme="minorEastAsia" w:hAnsiTheme="minorHAnsi" w:cstheme="minorBidi"/>
          <w:szCs w:val="22"/>
        </w:rPr>
      </w:pPr>
      <w:hyperlink w:anchor="_Toc128041933" w:history="1">
        <w:r w:rsidRPr="00A92D78">
          <w:rPr>
            <w:rStyle w:val="Hyperlink"/>
          </w:rPr>
          <w:t>3.2.1</w:t>
        </w:r>
        <w:r>
          <w:rPr>
            <w:rFonts w:asciiTheme="minorHAnsi" w:eastAsiaTheme="minorEastAsia" w:hAnsiTheme="minorHAnsi" w:cstheme="minorBidi"/>
            <w:szCs w:val="22"/>
          </w:rPr>
          <w:tab/>
        </w:r>
        <w:r w:rsidRPr="00A92D78">
          <w:rPr>
            <w:rStyle w:val="Hyperlink"/>
          </w:rPr>
          <w:t>Select Chemicals to Include in a Simulation</w:t>
        </w:r>
        <w:r>
          <w:rPr>
            <w:webHidden/>
          </w:rPr>
          <w:tab/>
        </w:r>
        <w:r>
          <w:rPr>
            <w:webHidden/>
          </w:rPr>
          <w:fldChar w:fldCharType="begin"/>
        </w:r>
        <w:r>
          <w:rPr>
            <w:webHidden/>
          </w:rPr>
          <w:instrText xml:space="preserve"> PAGEREF _Toc128041933 \h </w:instrText>
        </w:r>
        <w:r>
          <w:rPr>
            <w:webHidden/>
          </w:rPr>
        </w:r>
        <w:r>
          <w:rPr>
            <w:webHidden/>
          </w:rPr>
          <w:fldChar w:fldCharType="separate"/>
        </w:r>
        <w:r>
          <w:rPr>
            <w:webHidden/>
          </w:rPr>
          <w:t>12</w:t>
        </w:r>
        <w:r>
          <w:rPr>
            <w:webHidden/>
          </w:rPr>
          <w:fldChar w:fldCharType="end"/>
        </w:r>
      </w:hyperlink>
    </w:p>
    <w:p w14:paraId="1105CFF5" w14:textId="26ADCF49" w:rsidR="00F65FC4" w:rsidRDefault="00F65FC4">
      <w:pPr>
        <w:pStyle w:val="TOC3"/>
        <w:rPr>
          <w:rFonts w:asciiTheme="minorHAnsi" w:eastAsiaTheme="minorEastAsia" w:hAnsiTheme="minorHAnsi" w:cstheme="minorBidi"/>
          <w:szCs w:val="22"/>
        </w:rPr>
      </w:pPr>
      <w:hyperlink w:anchor="_Toc128041934" w:history="1">
        <w:r w:rsidRPr="00A92D78">
          <w:rPr>
            <w:rStyle w:val="Hyperlink"/>
          </w:rPr>
          <w:t>3.2.2</w:t>
        </w:r>
        <w:r>
          <w:rPr>
            <w:rFonts w:asciiTheme="minorHAnsi" w:eastAsiaTheme="minorEastAsia" w:hAnsiTheme="minorHAnsi" w:cstheme="minorBidi"/>
            <w:szCs w:val="22"/>
          </w:rPr>
          <w:tab/>
        </w:r>
        <w:r w:rsidRPr="00A92D78">
          <w:rPr>
            <w:rStyle w:val="Hyperlink"/>
          </w:rPr>
          <w:t>Add New Chemicals</w:t>
        </w:r>
        <w:r>
          <w:rPr>
            <w:webHidden/>
          </w:rPr>
          <w:tab/>
        </w:r>
        <w:r>
          <w:rPr>
            <w:webHidden/>
          </w:rPr>
          <w:fldChar w:fldCharType="begin"/>
        </w:r>
        <w:r>
          <w:rPr>
            <w:webHidden/>
          </w:rPr>
          <w:instrText xml:space="preserve"> PAGEREF _Toc128041934 \h </w:instrText>
        </w:r>
        <w:r>
          <w:rPr>
            <w:webHidden/>
          </w:rPr>
        </w:r>
        <w:r>
          <w:rPr>
            <w:webHidden/>
          </w:rPr>
          <w:fldChar w:fldCharType="separate"/>
        </w:r>
        <w:r>
          <w:rPr>
            <w:webHidden/>
          </w:rPr>
          <w:t>12</w:t>
        </w:r>
        <w:r>
          <w:rPr>
            <w:webHidden/>
          </w:rPr>
          <w:fldChar w:fldCharType="end"/>
        </w:r>
      </w:hyperlink>
    </w:p>
    <w:p w14:paraId="2707964A" w14:textId="168AC335" w:rsidR="00F65FC4" w:rsidRDefault="00F65FC4">
      <w:pPr>
        <w:pStyle w:val="TOC3"/>
        <w:rPr>
          <w:rFonts w:asciiTheme="minorHAnsi" w:eastAsiaTheme="minorEastAsia" w:hAnsiTheme="minorHAnsi" w:cstheme="minorBidi"/>
          <w:szCs w:val="22"/>
        </w:rPr>
      </w:pPr>
      <w:hyperlink w:anchor="_Toc128041935" w:history="1">
        <w:r w:rsidRPr="00A92D78">
          <w:rPr>
            <w:rStyle w:val="Hyperlink"/>
          </w:rPr>
          <w:t>3.2.3</w:t>
        </w:r>
        <w:r>
          <w:rPr>
            <w:rFonts w:asciiTheme="minorHAnsi" w:eastAsiaTheme="minorEastAsia" w:hAnsiTheme="minorHAnsi" w:cstheme="minorBidi"/>
            <w:szCs w:val="22"/>
          </w:rPr>
          <w:tab/>
        </w:r>
        <w:r w:rsidRPr="00A92D78">
          <w:rPr>
            <w:rStyle w:val="Hyperlink"/>
          </w:rPr>
          <w:t>View, Edit, and Delete Chemicals</w:t>
        </w:r>
        <w:r>
          <w:rPr>
            <w:webHidden/>
          </w:rPr>
          <w:tab/>
        </w:r>
        <w:r>
          <w:rPr>
            <w:webHidden/>
          </w:rPr>
          <w:fldChar w:fldCharType="begin"/>
        </w:r>
        <w:r>
          <w:rPr>
            <w:webHidden/>
          </w:rPr>
          <w:instrText xml:space="preserve"> PAGEREF _Toc128041935 \h </w:instrText>
        </w:r>
        <w:r>
          <w:rPr>
            <w:webHidden/>
          </w:rPr>
        </w:r>
        <w:r>
          <w:rPr>
            <w:webHidden/>
          </w:rPr>
          <w:fldChar w:fldCharType="separate"/>
        </w:r>
        <w:r>
          <w:rPr>
            <w:webHidden/>
          </w:rPr>
          <w:t>18</w:t>
        </w:r>
        <w:r>
          <w:rPr>
            <w:webHidden/>
          </w:rPr>
          <w:fldChar w:fldCharType="end"/>
        </w:r>
      </w:hyperlink>
    </w:p>
    <w:p w14:paraId="691D55C5" w14:textId="264BEB31" w:rsidR="00F65FC4" w:rsidRDefault="00F65FC4">
      <w:pPr>
        <w:pStyle w:val="TOC3"/>
        <w:rPr>
          <w:rFonts w:asciiTheme="minorHAnsi" w:eastAsiaTheme="minorEastAsia" w:hAnsiTheme="minorHAnsi" w:cstheme="minorBidi"/>
          <w:szCs w:val="22"/>
        </w:rPr>
      </w:pPr>
      <w:hyperlink w:anchor="_Toc128041936" w:history="1">
        <w:r w:rsidRPr="00A92D78">
          <w:rPr>
            <w:rStyle w:val="Hyperlink"/>
          </w:rPr>
          <w:t>3.2.4</w:t>
        </w:r>
        <w:r>
          <w:rPr>
            <w:rFonts w:asciiTheme="minorHAnsi" w:eastAsiaTheme="minorEastAsia" w:hAnsiTheme="minorHAnsi" w:cstheme="minorBidi"/>
            <w:szCs w:val="22"/>
          </w:rPr>
          <w:tab/>
        </w:r>
        <w:r w:rsidRPr="00A92D78">
          <w:rPr>
            <w:rStyle w:val="Hyperlink"/>
          </w:rPr>
          <w:t>Compare Non-default Properties for Selected Chemicals</w:t>
        </w:r>
        <w:r>
          <w:rPr>
            <w:webHidden/>
          </w:rPr>
          <w:tab/>
        </w:r>
        <w:r>
          <w:rPr>
            <w:webHidden/>
          </w:rPr>
          <w:fldChar w:fldCharType="begin"/>
        </w:r>
        <w:r>
          <w:rPr>
            <w:webHidden/>
          </w:rPr>
          <w:instrText xml:space="preserve"> PAGEREF _Toc128041936 \h </w:instrText>
        </w:r>
        <w:r>
          <w:rPr>
            <w:webHidden/>
          </w:rPr>
        </w:r>
        <w:r>
          <w:rPr>
            <w:webHidden/>
          </w:rPr>
          <w:fldChar w:fldCharType="separate"/>
        </w:r>
        <w:r>
          <w:rPr>
            <w:webHidden/>
          </w:rPr>
          <w:t>24</w:t>
        </w:r>
        <w:r>
          <w:rPr>
            <w:webHidden/>
          </w:rPr>
          <w:fldChar w:fldCharType="end"/>
        </w:r>
      </w:hyperlink>
    </w:p>
    <w:p w14:paraId="25704BF2" w14:textId="5F58293D" w:rsidR="00F65FC4" w:rsidRDefault="00F65FC4">
      <w:pPr>
        <w:pStyle w:val="TOC2"/>
        <w:rPr>
          <w:rFonts w:asciiTheme="minorHAnsi" w:eastAsiaTheme="minorEastAsia" w:hAnsiTheme="minorHAnsi" w:cstheme="minorBidi"/>
          <w:noProof/>
          <w:szCs w:val="22"/>
        </w:rPr>
      </w:pPr>
      <w:hyperlink w:anchor="_Toc128041937" w:history="1">
        <w:r w:rsidRPr="00A92D78">
          <w:rPr>
            <w:rStyle w:val="Hyperlink"/>
            <w:noProof/>
          </w:rPr>
          <w:t>3.3</w:t>
        </w:r>
        <w:r>
          <w:rPr>
            <w:rFonts w:asciiTheme="minorHAnsi" w:eastAsiaTheme="minorEastAsia" w:hAnsiTheme="minorHAnsi" w:cstheme="minorBidi"/>
            <w:noProof/>
            <w:szCs w:val="22"/>
          </w:rPr>
          <w:tab/>
        </w:r>
        <w:r w:rsidRPr="00A92D78">
          <w:rPr>
            <w:rStyle w:val="Hyperlink"/>
            <w:noProof/>
          </w:rPr>
          <w:t>Configure Human Exposure</w:t>
        </w:r>
        <w:r>
          <w:rPr>
            <w:noProof/>
            <w:webHidden/>
          </w:rPr>
          <w:tab/>
        </w:r>
        <w:r>
          <w:rPr>
            <w:noProof/>
            <w:webHidden/>
          </w:rPr>
          <w:fldChar w:fldCharType="begin"/>
        </w:r>
        <w:r>
          <w:rPr>
            <w:noProof/>
            <w:webHidden/>
          </w:rPr>
          <w:instrText xml:space="preserve"> PAGEREF _Toc128041937 \h </w:instrText>
        </w:r>
        <w:r>
          <w:rPr>
            <w:noProof/>
            <w:webHidden/>
          </w:rPr>
        </w:r>
        <w:r>
          <w:rPr>
            <w:noProof/>
            <w:webHidden/>
          </w:rPr>
          <w:fldChar w:fldCharType="separate"/>
        </w:r>
        <w:r>
          <w:rPr>
            <w:noProof/>
            <w:webHidden/>
          </w:rPr>
          <w:t>25</w:t>
        </w:r>
        <w:r>
          <w:rPr>
            <w:noProof/>
            <w:webHidden/>
          </w:rPr>
          <w:fldChar w:fldCharType="end"/>
        </w:r>
      </w:hyperlink>
    </w:p>
    <w:p w14:paraId="601E5389" w14:textId="40383D4B" w:rsidR="00F65FC4" w:rsidRDefault="00F65FC4">
      <w:pPr>
        <w:pStyle w:val="TOC2"/>
        <w:rPr>
          <w:rFonts w:asciiTheme="minorHAnsi" w:eastAsiaTheme="minorEastAsia" w:hAnsiTheme="minorHAnsi" w:cstheme="minorBidi"/>
          <w:noProof/>
          <w:szCs w:val="22"/>
        </w:rPr>
      </w:pPr>
      <w:hyperlink w:anchor="_Toc128041938" w:history="1">
        <w:r w:rsidRPr="00A92D78">
          <w:rPr>
            <w:rStyle w:val="Hyperlink"/>
            <w:noProof/>
          </w:rPr>
          <w:t>3.4</w:t>
        </w:r>
        <w:r>
          <w:rPr>
            <w:rFonts w:asciiTheme="minorHAnsi" w:eastAsiaTheme="minorEastAsia" w:hAnsiTheme="minorHAnsi" w:cstheme="minorBidi"/>
            <w:noProof/>
            <w:szCs w:val="22"/>
          </w:rPr>
          <w:tab/>
        </w:r>
        <w:r w:rsidRPr="00A92D78">
          <w:rPr>
            <w:rStyle w:val="Hyperlink"/>
            <w:noProof/>
          </w:rPr>
          <w:t>Configure Ecological Exposure</w:t>
        </w:r>
        <w:r>
          <w:rPr>
            <w:noProof/>
            <w:webHidden/>
          </w:rPr>
          <w:tab/>
        </w:r>
        <w:r>
          <w:rPr>
            <w:noProof/>
            <w:webHidden/>
          </w:rPr>
          <w:fldChar w:fldCharType="begin"/>
        </w:r>
        <w:r>
          <w:rPr>
            <w:noProof/>
            <w:webHidden/>
          </w:rPr>
          <w:instrText xml:space="preserve"> PAGEREF _Toc128041938 \h </w:instrText>
        </w:r>
        <w:r>
          <w:rPr>
            <w:noProof/>
            <w:webHidden/>
          </w:rPr>
        </w:r>
        <w:r>
          <w:rPr>
            <w:noProof/>
            <w:webHidden/>
          </w:rPr>
          <w:fldChar w:fldCharType="separate"/>
        </w:r>
        <w:r>
          <w:rPr>
            <w:noProof/>
            <w:webHidden/>
          </w:rPr>
          <w:t>26</w:t>
        </w:r>
        <w:r>
          <w:rPr>
            <w:noProof/>
            <w:webHidden/>
          </w:rPr>
          <w:fldChar w:fldCharType="end"/>
        </w:r>
      </w:hyperlink>
    </w:p>
    <w:p w14:paraId="067799B2" w14:textId="77BF3C71" w:rsidR="00F65FC4" w:rsidRDefault="00F65FC4">
      <w:pPr>
        <w:pStyle w:val="TOC2"/>
        <w:rPr>
          <w:rFonts w:asciiTheme="minorHAnsi" w:eastAsiaTheme="minorEastAsia" w:hAnsiTheme="minorHAnsi" w:cstheme="minorBidi"/>
          <w:noProof/>
          <w:szCs w:val="22"/>
        </w:rPr>
      </w:pPr>
      <w:hyperlink w:anchor="_Toc128041939" w:history="1">
        <w:r w:rsidRPr="00A92D78">
          <w:rPr>
            <w:rStyle w:val="Hyperlink"/>
            <w:noProof/>
          </w:rPr>
          <w:t>3.5</w:t>
        </w:r>
        <w:r>
          <w:rPr>
            <w:rFonts w:asciiTheme="minorHAnsi" w:eastAsiaTheme="minorEastAsia" w:hAnsiTheme="minorHAnsi" w:cstheme="minorBidi"/>
            <w:noProof/>
            <w:szCs w:val="22"/>
          </w:rPr>
          <w:tab/>
        </w:r>
        <w:r w:rsidRPr="00A92D78">
          <w:rPr>
            <w:rStyle w:val="Hyperlink"/>
            <w:noProof/>
          </w:rPr>
          <w:t>View Inputs</w:t>
        </w:r>
        <w:r>
          <w:rPr>
            <w:noProof/>
            <w:webHidden/>
          </w:rPr>
          <w:tab/>
        </w:r>
        <w:r>
          <w:rPr>
            <w:noProof/>
            <w:webHidden/>
          </w:rPr>
          <w:fldChar w:fldCharType="begin"/>
        </w:r>
        <w:r>
          <w:rPr>
            <w:noProof/>
            <w:webHidden/>
          </w:rPr>
          <w:instrText xml:space="preserve"> PAGEREF _Toc128041939 \h </w:instrText>
        </w:r>
        <w:r>
          <w:rPr>
            <w:noProof/>
            <w:webHidden/>
          </w:rPr>
        </w:r>
        <w:r>
          <w:rPr>
            <w:noProof/>
            <w:webHidden/>
          </w:rPr>
          <w:fldChar w:fldCharType="separate"/>
        </w:r>
        <w:r>
          <w:rPr>
            <w:noProof/>
            <w:webHidden/>
          </w:rPr>
          <w:t>27</w:t>
        </w:r>
        <w:r>
          <w:rPr>
            <w:noProof/>
            <w:webHidden/>
          </w:rPr>
          <w:fldChar w:fldCharType="end"/>
        </w:r>
      </w:hyperlink>
    </w:p>
    <w:p w14:paraId="354FFCDC" w14:textId="5C531BD8" w:rsidR="00F65FC4" w:rsidRDefault="00F65FC4">
      <w:pPr>
        <w:pStyle w:val="TOC1"/>
        <w:rPr>
          <w:rFonts w:asciiTheme="minorHAnsi" w:eastAsiaTheme="minorEastAsia" w:hAnsiTheme="minorHAnsi" w:cstheme="minorBidi"/>
          <w:b w:val="0"/>
          <w:bCs w:val="0"/>
          <w:noProof/>
          <w:szCs w:val="22"/>
        </w:rPr>
      </w:pPr>
      <w:hyperlink w:anchor="_Toc128041940" w:history="1">
        <w:r w:rsidRPr="00A92D78">
          <w:rPr>
            <w:rStyle w:val="Hyperlink"/>
            <w:noProof/>
          </w:rPr>
          <w:t>4.</w:t>
        </w:r>
        <w:r>
          <w:rPr>
            <w:rFonts w:asciiTheme="minorHAnsi" w:eastAsiaTheme="minorEastAsia" w:hAnsiTheme="minorHAnsi" w:cstheme="minorBidi"/>
            <w:b w:val="0"/>
            <w:bCs w:val="0"/>
            <w:noProof/>
            <w:szCs w:val="22"/>
          </w:rPr>
          <w:tab/>
        </w:r>
        <w:r w:rsidRPr="00A92D78">
          <w:rPr>
            <w:rStyle w:val="Hyperlink"/>
            <w:noProof/>
          </w:rPr>
          <w:t>Run a Simulation</w:t>
        </w:r>
        <w:r>
          <w:rPr>
            <w:noProof/>
            <w:webHidden/>
          </w:rPr>
          <w:tab/>
        </w:r>
        <w:r>
          <w:rPr>
            <w:noProof/>
            <w:webHidden/>
          </w:rPr>
          <w:fldChar w:fldCharType="begin"/>
        </w:r>
        <w:r>
          <w:rPr>
            <w:noProof/>
            <w:webHidden/>
          </w:rPr>
          <w:instrText xml:space="preserve"> PAGEREF _Toc128041940 \h </w:instrText>
        </w:r>
        <w:r>
          <w:rPr>
            <w:noProof/>
            <w:webHidden/>
          </w:rPr>
        </w:r>
        <w:r>
          <w:rPr>
            <w:noProof/>
            <w:webHidden/>
          </w:rPr>
          <w:fldChar w:fldCharType="separate"/>
        </w:r>
        <w:r>
          <w:rPr>
            <w:noProof/>
            <w:webHidden/>
          </w:rPr>
          <w:t>32</w:t>
        </w:r>
        <w:r>
          <w:rPr>
            <w:noProof/>
            <w:webHidden/>
          </w:rPr>
          <w:fldChar w:fldCharType="end"/>
        </w:r>
      </w:hyperlink>
    </w:p>
    <w:p w14:paraId="58A44A6E" w14:textId="31D68767" w:rsidR="00F65FC4" w:rsidRDefault="00F65FC4">
      <w:pPr>
        <w:pStyle w:val="TOC1"/>
        <w:rPr>
          <w:rFonts w:asciiTheme="minorHAnsi" w:eastAsiaTheme="minorEastAsia" w:hAnsiTheme="minorHAnsi" w:cstheme="minorBidi"/>
          <w:b w:val="0"/>
          <w:bCs w:val="0"/>
          <w:noProof/>
          <w:szCs w:val="22"/>
        </w:rPr>
      </w:pPr>
      <w:hyperlink w:anchor="_Toc128041941" w:history="1">
        <w:r w:rsidRPr="00A92D78">
          <w:rPr>
            <w:rStyle w:val="Hyperlink"/>
            <w:noProof/>
          </w:rPr>
          <w:t>5.</w:t>
        </w:r>
        <w:r>
          <w:rPr>
            <w:rFonts w:asciiTheme="minorHAnsi" w:eastAsiaTheme="minorEastAsia" w:hAnsiTheme="minorHAnsi" w:cstheme="minorBidi"/>
            <w:b w:val="0"/>
            <w:bCs w:val="0"/>
            <w:noProof/>
            <w:szCs w:val="22"/>
          </w:rPr>
          <w:tab/>
        </w:r>
        <w:r w:rsidRPr="00A92D78">
          <w:rPr>
            <w:rStyle w:val="Hyperlink"/>
            <w:noProof/>
          </w:rPr>
          <w:t>View, Export, and Save Results</w:t>
        </w:r>
        <w:r>
          <w:rPr>
            <w:noProof/>
            <w:webHidden/>
          </w:rPr>
          <w:tab/>
        </w:r>
        <w:r>
          <w:rPr>
            <w:noProof/>
            <w:webHidden/>
          </w:rPr>
          <w:fldChar w:fldCharType="begin"/>
        </w:r>
        <w:r>
          <w:rPr>
            <w:noProof/>
            <w:webHidden/>
          </w:rPr>
          <w:instrText xml:space="preserve"> PAGEREF _Toc128041941 \h </w:instrText>
        </w:r>
        <w:r>
          <w:rPr>
            <w:noProof/>
            <w:webHidden/>
          </w:rPr>
        </w:r>
        <w:r>
          <w:rPr>
            <w:noProof/>
            <w:webHidden/>
          </w:rPr>
          <w:fldChar w:fldCharType="separate"/>
        </w:r>
        <w:r>
          <w:rPr>
            <w:noProof/>
            <w:webHidden/>
          </w:rPr>
          <w:t>33</w:t>
        </w:r>
        <w:r>
          <w:rPr>
            <w:noProof/>
            <w:webHidden/>
          </w:rPr>
          <w:fldChar w:fldCharType="end"/>
        </w:r>
      </w:hyperlink>
    </w:p>
    <w:p w14:paraId="31C834E1" w14:textId="60405CD3" w:rsidR="00F65FC4" w:rsidRDefault="00F65FC4">
      <w:pPr>
        <w:pStyle w:val="TOC2"/>
        <w:rPr>
          <w:rFonts w:asciiTheme="minorHAnsi" w:eastAsiaTheme="minorEastAsia" w:hAnsiTheme="minorHAnsi" w:cstheme="minorBidi"/>
          <w:noProof/>
          <w:szCs w:val="22"/>
        </w:rPr>
      </w:pPr>
      <w:hyperlink w:anchor="_Toc128041942" w:history="1">
        <w:r w:rsidRPr="00A92D78">
          <w:rPr>
            <w:rStyle w:val="Hyperlink"/>
            <w:noProof/>
          </w:rPr>
          <w:t>5.1</w:t>
        </w:r>
        <w:r>
          <w:rPr>
            <w:rFonts w:asciiTheme="minorHAnsi" w:eastAsiaTheme="minorEastAsia" w:hAnsiTheme="minorHAnsi" w:cstheme="minorBidi"/>
            <w:noProof/>
            <w:szCs w:val="22"/>
          </w:rPr>
          <w:tab/>
        </w:r>
        <w:r w:rsidRPr="00A92D78">
          <w:rPr>
            <w:rStyle w:val="Hyperlink"/>
            <w:noProof/>
          </w:rPr>
          <w:t>View Results</w:t>
        </w:r>
        <w:r>
          <w:rPr>
            <w:noProof/>
            <w:webHidden/>
          </w:rPr>
          <w:tab/>
        </w:r>
        <w:r>
          <w:rPr>
            <w:noProof/>
            <w:webHidden/>
          </w:rPr>
          <w:fldChar w:fldCharType="begin"/>
        </w:r>
        <w:r>
          <w:rPr>
            <w:noProof/>
            <w:webHidden/>
          </w:rPr>
          <w:instrText xml:space="preserve"> PAGEREF _Toc128041942 \h </w:instrText>
        </w:r>
        <w:r>
          <w:rPr>
            <w:noProof/>
            <w:webHidden/>
          </w:rPr>
        </w:r>
        <w:r>
          <w:rPr>
            <w:noProof/>
            <w:webHidden/>
          </w:rPr>
          <w:fldChar w:fldCharType="separate"/>
        </w:r>
        <w:r>
          <w:rPr>
            <w:noProof/>
            <w:webHidden/>
          </w:rPr>
          <w:t>33</w:t>
        </w:r>
        <w:r>
          <w:rPr>
            <w:noProof/>
            <w:webHidden/>
          </w:rPr>
          <w:fldChar w:fldCharType="end"/>
        </w:r>
      </w:hyperlink>
    </w:p>
    <w:p w14:paraId="68A16A30" w14:textId="4FBC39BC" w:rsidR="00F65FC4" w:rsidRDefault="00F65FC4">
      <w:pPr>
        <w:pStyle w:val="TOC2"/>
        <w:rPr>
          <w:rFonts w:asciiTheme="minorHAnsi" w:eastAsiaTheme="minorEastAsia" w:hAnsiTheme="minorHAnsi" w:cstheme="minorBidi"/>
          <w:noProof/>
          <w:szCs w:val="22"/>
        </w:rPr>
      </w:pPr>
      <w:hyperlink w:anchor="_Toc128041943" w:history="1">
        <w:r w:rsidRPr="00A92D78">
          <w:rPr>
            <w:rStyle w:val="Hyperlink"/>
            <w:noProof/>
          </w:rPr>
          <w:t>5.2</w:t>
        </w:r>
        <w:r>
          <w:rPr>
            <w:rFonts w:asciiTheme="minorHAnsi" w:eastAsiaTheme="minorEastAsia" w:hAnsiTheme="minorHAnsi" w:cstheme="minorBidi"/>
            <w:noProof/>
            <w:szCs w:val="22"/>
          </w:rPr>
          <w:tab/>
        </w:r>
        <w:r w:rsidRPr="00A92D78">
          <w:rPr>
            <w:rStyle w:val="Hyperlink"/>
            <w:noProof/>
          </w:rPr>
          <w:t>Export Results and Associated Inputs</w:t>
        </w:r>
        <w:r>
          <w:rPr>
            <w:noProof/>
            <w:webHidden/>
          </w:rPr>
          <w:tab/>
        </w:r>
        <w:r>
          <w:rPr>
            <w:noProof/>
            <w:webHidden/>
          </w:rPr>
          <w:fldChar w:fldCharType="begin"/>
        </w:r>
        <w:r>
          <w:rPr>
            <w:noProof/>
            <w:webHidden/>
          </w:rPr>
          <w:instrText xml:space="preserve"> PAGEREF _Toc128041943 \h </w:instrText>
        </w:r>
        <w:r>
          <w:rPr>
            <w:noProof/>
            <w:webHidden/>
          </w:rPr>
        </w:r>
        <w:r>
          <w:rPr>
            <w:noProof/>
            <w:webHidden/>
          </w:rPr>
          <w:fldChar w:fldCharType="separate"/>
        </w:r>
        <w:r>
          <w:rPr>
            <w:noProof/>
            <w:webHidden/>
          </w:rPr>
          <w:t>36</w:t>
        </w:r>
        <w:r>
          <w:rPr>
            <w:noProof/>
            <w:webHidden/>
          </w:rPr>
          <w:fldChar w:fldCharType="end"/>
        </w:r>
      </w:hyperlink>
    </w:p>
    <w:p w14:paraId="13739419" w14:textId="2B30578E" w:rsidR="00F65FC4" w:rsidRDefault="00F65FC4">
      <w:pPr>
        <w:pStyle w:val="TOC2"/>
        <w:rPr>
          <w:rFonts w:asciiTheme="minorHAnsi" w:eastAsiaTheme="minorEastAsia" w:hAnsiTheme="minorHAnsi" w:cstheme="minorBidi"/>
          <w:noProof/>
          <w:szCs w:val="22"/>
        </w:rPr>
      </w:pPr>
      <w:hyperlink w:anchor="_Toc128041944" w:history="1">
        <w:r w:rsidRPr="00A92D78">
          <w:rPr>
            <w:rStyle w:val="Hyperlink"/>
            <w:noProof/>
          </w:rPr>
          <w:t>5.3</w:t>
        </w:r>
        <w:r>
          <w:rPr>
            <w:rFonts w:asciiTheme="minorHAnsi" w:eastAsiaTheme="minorEastAsia" w:hAnsiTheme="minorHAnsi" w:cstheme="minorBidi"/>
            <w:noProof/>
            <w:szCs w:val="22"/>
          </w:rPr>
          <w:tab/>
        </w:r>
        <w:r w:rsidRPr="00A92D78">
          <w:rPr>
            <w:rStyle w:val="Hyperlink"/>
            <w:noProof/>
          </w:rPr>
          <w:t>Save a Run</w:t>
        </w:r>
        <w:r>
          <w:rPr>
            <w:noProof/>
            <w:webHidden/>
          </w:rPr>
          <w:tab/>
        </w:r>
        <w:r>
          <w:rPr>
            <w:noProof/>
            <w:webHidden/>
          </w:rPr>
          <w:fldChar w:fldCharType="begin"/>
        </w:r>
        <w:r>
          <w:rPr>
            <w:noProof/>
            <w:webHidden/>
          </w:rPr>
          <w:instrText xml:space="preserve"> PAGEREF _Toc128041944 \h </w:instrText>
        </w:r>
        <w:r>
          <w:rPr>
            <w:noProof/>
            <w:webHidden/>
          </w:rPr>
        </w:r>
        <w:r>
          <w:rPr>
            <w:noProof/>
            <w:webHidden/>
          </w:rPr>
          <w:fldChar w:fldCharType="separate"/>
        </w:r>
        <w:r>
          <w:rPr>
            <w:noProof/>
            <w:webHidden/>
          </w:rPr>
          <w:t>36</w:t>
        </w:r>
        <w:r>
          <w:rPr>
            <w:noProof/>
            <w:webHidden/>
          </w:rPr>
          <w:fldChar w:fldCharType="end"/>
        </w:r>
      </w:hyperlink>
    </w:p>
    <w:p w14:paraId="540542B2" w14:textId="0908D0BE" w:rsidR="00F65FC4" w:rsidRDefault="00F65FC4">
      <w:pPr>
        <w:pStyle w:val="TOC1"/>
        <w:rPr>
          <w:rFonts w:asciiTheme="minorHAnsi" w:eastAsiaTheme="minorEastAsia" w:hAnsiTheme="minorHAnsi" w:cstheme="minorBidi"/>
          <w:b w:val="0"/>
          <w:bCs w:val="0"/>
          <w:noProof/>
          <w:szCs w:val="22"/>
        </w:rPr>
      </w:pPr>
      <w:hyperlink w:anchor="_Toc128041945" w:history="1">
        <w:r w:rsidRPr="00A92D78">
          <w:rPr>
            <w:rStyle w:val="Hyperlink"/>
            <w:noProof/>
          </w:rPr>
          <w:t>6.</w:t>
        </w:r>
        <w:r>
          <w:rPr>
            <w:rFonts w:asciiTheme="minorHAnsi" w:eastAsiaTheme="minorEastAsia" w:hAnsiTheme="minorHAnsi" w:cstheme="minorBidi"/>
            <w:b w:val="0"/>
            <w:bCs w:val="0"/>
            <w:noProof/>
            <w:szCs w:val="22"/>
          </w:rPr>
          <w:tab/>
        </w:r>
        <w:r w:rsidRPr="00A92D78">
          <w:rPr>
            <w:rStyle w:val="Hyperlink"/>
            <w:noProof/>
          </w:rPr>
          <w:t>Limitations</w:t>
        </w:r>
        <w:r>
          <w:rPr>
            <w:noProof/>
            <w:webHidden/>
          </w:rPr>
          <w:tab/>
        </w:r>
        <w:r>
          <w:rPr>
            <w:noProof/>
            <w:webHidden/>
          </w:rPr>
          <w:fldChar w:fldCharType="begin"/>
        </w:r>
        <w:r>
          <w:rPr>
            <w:noProof/>
            <w:webHidden/>
          </w:rPr>
          <w:instrText xml:space="preserve"> PAGEREF _Toc128041945 \h </w:instrText>
        </w:r>
        <w:r>
          <w:rPr>
            <w:noProof/>
            <w:webHidden/>
          </w:rPr>
        </w:r>
        <w:r>
          <w:rPr>
            <w:noProof/>
            <w:webHidden/>
          </w:rPr>
          <w:fldChar w:fldCharType="separate"/>
        </w:r>
        <w:r>
          <w:rPr>
            <w:noProof/>
            <w:webHidden/>
          </w:rPr>
          <w:t>38</w:t>
        </w:r>
        <w:r>
          <w:rPr>
            <w:noProof/>
            <w:webHidden/>
          </w:rPr>
          <w:fldChar w:fldCharType="end"/>
        </w:r>
      </w:hyperlink>
    </w:p>
    <w:p w14:paraId="68DC88AB" w14:textId="5FD043E5" w:rsidR="00F65FC4" w:rsidRDefault="00F65FC4">
      <w:pPr>
        <w:pStyle w:val="TOC1"/>
        <w:rPr>
          <w:rFonts w:asciiTheme="minorHAnsi" w:eastAsiaTheme="minorEastAsia" w:hAnsiTheme="minorHAnsi" w:cstheme="minorBidi"/>
          <w:b w:val="0"/>
          <w:bCs w:val="0"/>
          <w:noProof/>
          <w:szCs w:val="22"/>
        </w:rPr>
      </w:pPr>
      <w:hyperlink w:anchor="_Toc128041946" w:history="1">
        <w:r w:rsidRPr="00A92D78">
          <w:rPr>
            <w:rStyle w:val="Hyperlink"/>
            <w:noProof/>
          </w:rPr>
          <w:t>7.</w:t>
        </w:r>
        <w:r>
          <w:rPr>
            <w:rFonts w:asciiTheme="minorHAnsi" w:eastAsiaTheme="minorEastAsia" w:hAnsiTheme="minorHAnsi" w:cstheme="minorBidi"/>
            <w:b w:val="0"/>
            <w:bCs w:val="0"/>
            <w:noProof/>
            <w:szCs w:val="22"/>
          </w:rPr>
          <w:tab/>
        </w:r>
        <w:r w:rsidRPr="00A92D78">
          <w:rPr>
            <w:rStyle w:val="Hyperlink"/>
            <w:noProof/>
          </w:rPr>
          <w:t>References</w:t>
        </w:r>
        <w:r>
          <w:rPr>
            <w:noProof/>
            <w:webHidden/>
          </w:rPr>
          <w:tab/>
        </w:r>
        <w:r>
          <w:rPr>
            <w:noProof/>
            <w:webHidden/>
          </w:rPr>
          <w:fldChar w:fldCharType="begin"/>
        </w:r>
        <w:r>
          <w:rPr>
            <w:noProof/>
            <w:webHidden/>
          </w:rPr>
          <w:instrText xml:space="preserve"> PAGEREF _Toc128041946 \h </w:instrText>
        </w:r>
        <w:r>
          <w:rPr>
            <w:noProof/>
            <w:webHidden/>
          </w:rPr>
        </w:r>
        <w:r>
          <w:rPr>
            <w:noProof/>
            <w:webHidden/>
          </w:rPr>
          <w:fldChar w:fldCharType="separate"/>
        </w:r>
        <w:r>
          <w:rPr>
            <w:noProof/>
            <w:webHidden/>
          </w:rPr>
          <w:t>40</w:t>
        </w:r>
        <w:r>
          <w:rPr>
            <w:noProof/>
            <w:webHidden/>
          </w:rPr>
          <w:fldChar w:fldCharType="end"/>
        </w:r>
      </w:hyperlink>
    </w:p>
    <w:p w14:paraId="7FE786F8" w14:textId="6F73F870" w:rsidR="000F6815" w:rsidRDefault="000F6815" w:rsidP="000F6815">
      <w:pPr>
        <w:pStyle w:val="TOC1"/>
      </w:pPr>
      <w:r>
        <w:fldChar w:fldCharType="end"/>
      </w:r>
      <w:r w:rsidRPr="00CF095B">
        <w:t>Appendices</w:t>
      </w:r>
    </w:p>
    <w:p w14:paraId="7031C410" w14:textId="77777777" w:rsidR="000F6815" w:rsidRDefault="000F6815" w:rsidP="000F6815">
      <w:pPr>
        <w:pStyle w:val="TOC2"/>
      </w:pPr>
      <w:r>
        <w:t>A</w:t>
      </w:r>
      <w:r>
        <w:tab/>
        <w:t>Technical Background</w:t>
      </w:r>
    </w:p>
    <w:p w14:paraId="403B9046" w14:textId="77777777" w:rsidR="000F6815" w:rsidRDefault="000F6815" w:rsidP="000F6815">
      <w:pPr>
        <w:pStyle w:val="TOC2"/>
      </w:pPr>
      <w:r>
        <w:t>B</w:t>
      </w:r>
      <w:r>
        <w:tab/>
        <w:t>Non-Chemical-Specific Parameters</w:t>
      </w:r>
    </w:p>
    <w:p w14:paraId="481AAE03" w14:textId="77777777" w:rsidR="000F6815" w:rsidRDefault="000F6815" w:rsidP="000F6815">
      <w:pPr>
        <w:pStyle w:val="TOC2"/>
      </w:pPr>
      <w:r>
        <w:t>C</w:t>
      </w:r>
      <w:r>
        <w:tab/>
        <w:t>Chemical-Specific Parameters</w:t>
      </w:r>
    </w:p>
    <w:p w14:paraId="42928819" w14:textId="77777777" w:rsidR="000F6815" w:rsidRDefault="000F6815" w:rsidP="000F6815">
      <w:pPr>
        <w:pStyle w:val="TOC2"/>
      </w:pPr>
      <w:r>
        <w:t>D</w:t>
      </w:r>
      <w:r>
        <w:tab/>
        <w:t>Human and Ecological Toxicity Values</w:t>
      </w:r>
    </w:p>
    <w:p w14:paraId="0A7C0D36" w14:textId="77777777" w:rsidR="000F6815" w:rsidRDefault="000F6815" w:rsidP="000F6815">
      <w:pPr>
        <w:pStyle w:val="TOC2"/>
      </w:pPr>
      <w:r>
        <w:t>E</w:t>
      </w:r>
      <w:r>
        <w:tab/>
        <w:t>Validation and Sensitivity Analyses</w:t>
      </w:r>
    </w:p>
    <w:p w14:paraId="54139A32" w14:textId="77777777" w:rsidR="000F6815" w:rsidRDefault="000F6815" w:rsidP="000F6815">
      <w:pPr>
        <w:rPr>
          <w:rFonts w:ascii="Times New Roman" w:eastAsia="Times New Roman" w:hAnsi="Times New Roman" w:cs="Times New Roman"/>
          <w:szCs w:val="20"/>
        </w:rPr>
      </w:pPr>
      <w:r>
        <w:br w:type="page"/>
      </w:r>
    </w:p>
    <w:p w14:paraId="0F0F583E" w14:textId="77777777" w:rsidR="000F6815" w:rsidRDefault="000F6815" w:rsidP="005D1672">
      <w:pPr>
        <w:pStyle w:val="TOC0"/>
      </w:pPr>
      <w:bookmarkStart w:id="13" w:name="_Toc128041923"/>
      <w:r>
        <w:lastRenderedPageBreak/>
        <w:t>List of Figures</w:t>
      </w:r>
      <w:bookmarkEnd w:id="13"/>
    </w:p>
    <w:p w14:paraId="5AB90176" w14:textId="7534F713" w:rsidR="000F6815" w:rsidRDefault="000F6815" w:rsidP="000F6815">
      <w:pPr>
        <w:pStyle w:val="TableofFigures"/>
        <w:rPr>
          <w:rFonts w:asciiTheme="minorHAnsi" w:eastAsiaTheme="minorEastAsia" w:hAnsiTheme="minorHAnsi" w:cstheme="minorBidi"/>
        </w:rPr>
      </w:pPr>
      <w:r>
        <w:fldChar w:fldCharType="begin"/>
      </w:r>
      <w:r>
        <w:instrText xml:space="preserve"> TOC \h \z \t "Figure caption" \c </w:instrText>
      </w:r>
      <w:r>
        <w:fldChar w:fldCharType="separate"/>
      </w:r>
      <w:hyperlink w:anchor="_Toc103854344" w:history="1">
        <w:r w:rsidRPr="005C447A">
          <w:rPr>
            <w:rStyle w:val="Hyperlink"/>
          </w:rPr>
          <w:t>Figure 1. Conceptual model of human exposure from land application of biosolids.</w:t>
        </w:r>
        <w:r>
          <w:rPr>
            <w:webHidden/>
          </w:rPr>
          <w:tab/>
        </w:r>
        <w:r>
          <w:rPr>
            <w:webHidden/>
          </w:rPr>
          <w:fldChar w:fldCharType="begin"/>
        </w:r>
        <w:r>
          <w:rPr>
            <w:webHidden/>
          </w:rPr>
          <w:instrText xml:space="preserve"> PAGEREF _Toc103854344 \h </w:instrText>
        </w:r>
        <w:r>
          <w:rPr>
            <w:webHidden/>
          </w:rPr>
        </w:r>
        <w:r>
          <w:rPr>
            <w:webHidden/>
          </w:rPr>
          <w:fldChar w:fldCharType="separate"/>
        </w:r>
        <w:r w:rsidR="00F65FC4">
          <w:rPr>
            <w:webHidden/>
          </w:rPr>
          <w:t>2</w:t>
        </w:r>
        <w:r>
          <w:rPr>
            <w:webHidden/>
          </w:rPr>
          <w:fldChar w:fldCharType="end"/>
        </w:r>
      </w:hyperlink>
    </w:p>
    <w:p w14:paraId="0679FBE4" w14:textId="32953198" w:rsidR="000F6815" w:rsidRDefault="00F65FC4" w:rsidP="000F6815">
      <w:pPr>
        <w:pStyle w:val="TableofFigures"/>
        <w:rPr>
          <w:rFonts w:asciiTheme="minorHAnsi" w:eastAsiaTheme="minorEastAsia" w:hAnsiTheme="minorHAnsi" w:cstheme="minorBidi"/>
        </w:rPr>
      </w:pPr>
      <w:hyperlink w:anchor="_Toc103854345" w:history="1">
        <w:r w:rsidR="000F6815" w:rsidRPr="005C447A">
          <w:rPr>
            <w:rStyle w:val="Hyperlink"/>
          </w:rPr>
          <w:t>Figure 2. Conceptual model of human exposure from surface disposal of biosolids.</w:t>
        </w:r>
        <w:r w:rsidR="000F6815">
          <w:rPr>
            <w:webHidden/>
          </w:rPr>
          <w:tab/>
        </w:r>
        <w:r w:rsidR="000F6815">
          <w:rPr>
            <w:webHidden/>
          </w:rPr>
          <w:fldChar w:fldCharType="begin"/>
        </w:r>
        <w:r w:rsidR="000F6815">
          <w:rPr>
            <w:webHidden/>
          </w:rPr>
          <w:instrText xml:space="preserve"> PAGEREF _Toc103854345 \h </w:instrText>
        </w:r>
        <w:r w:rsidR="000F6815">
          <w:rPr>
            <w:webHidden/>
          </w:rPr>
        </w:r>
        <w:r w:rsidR="000F6815">
          <w:rPr>
            <w:webHidden/>
          </w:rPr>
          <w:fldChar w:fldCharType="separate"/>
        </w:r>
        <w:r>
          <w:rPr>
            <w:webHidden/>
          </w:rPr>
          <w:t>2</w:t>
        </w:r>
        <w:r w:rsidR="000F6815">
          <w:rPr>
            <w:webHidden/>
          </w:rPr>
          <w:fldChar w:fldCharType="end"/>
        </w:r>
      </w:hyperlink>
    </w:p>
    <w:p w14:paraId="10C0FC26" w14:textId="2948C8E0" w:rsidR="000F6815" w:rsidRDefault="00F65FC4" w:rsidP="000F6815">
      <w:pPr>
        <w:pStyle w:val="TableofFigures"/>
        <w:rPr>
          <w:rFonts w:asciiTheme="minorHAnsi" w:eastAsiaTheme="minorEastAsia" w:hAnsiTheme="minorHAnsi" w:cstheme="minorBidi"/>
        </w:rPr>
      </w:pPr>
      <w:hyperlink w:anchor="_Toc103854346" w:history="1">
        <w:r w:rsidR="000F6815" w:rsidRPr="005C447A">
          <w:rPr>
            <w:rStyle w:val="Hyperlink"/>
          </w:rPr>
          <w:t>Figure 4. Overview of Biosolids Tool modeling environment.</w:t>
        </w:r>
        <w:r w:rsidR="000F6815">
          <w:rPr>
            <w:webHidden/>
          </w:rPr>
          <w:tab/>
        </w:r>
        <w:r w:rsidR="000F6815">
          <w:rPr>
            <w:webHidden/>
          </w:rPr>
          <w:fldChar w:fldCharType="begin"/>
        </w:r>
        <w:r w:rsidR="000F6815">
          <w:rPr>
            <w:webHidden/>
          </w:rPr>
          <w:instrText xml:space="preserve"> PAGEREF _Toc103854346 \h </w:instrText>
        </w:r>
        <w:r w:rsidR="000F6815">
          <w:rPr>
            <w:webHidden/>
          </w:rPr>
        </w:r>
        <w:r w:rsidR="000F6815">
          <w:rPr>
            <w:webHidden/>
          </w:rPr>
          <w:fldChar w:fldCharType="separate"/>
        </w:r>
        <w:r>
          <w:rPr>
            <w:webHidden/>
          </w:rPr>
          <w:t>4</w:t>
        </w:r>
        <w:r w:rsidR="000F6815">
          <w:rPr>
            <w:webHidden/>
          </w:rPr>
          <w:fldChar w:fldCharType="end"/>
        </w:r>
      </w:hyperlink>
    </w:p>
    <w:p w14:paraId="5695F89F" w14:textId="3CC654F9" w:rsidR="000F6815" w:rsidRDefault="00F65FC4" w:rsidP="000F6815">
      <w:pPr>
        <w:pStyle w:val="TableofFigures"/>
        <w:rPr>
          <w:rFonts w:asciiTheme="minorHAnsi" w:eastAsiaTheme="minorEastAsia" w:hAnsiTheme="minorHAnsi" w:cstheme="minorBidi"/>
        </w:rPr>
      </w:pPr>
      <w:hyperlink w:anchor="_Toc103854347" w:history="1">
        <w:r w:rsidR="000F6815" w:rsidRPr="005C447A">
          <w:rPr>
            <w:rStyle w:val="Hyperlink"/>
          </w:rPr>
          <w:t>Figure 3. Conceptual model of exposure to aquatic and terrestrial wildlife from land applied biosolids.</w:t>
        </w:r>
        <w:r w:rsidR="000F6815">
          <w:rPr>
            <w:webHidden/>
          </w:rPr>
          <w:tab/>
        </w:r>
        <w:r w:rsidR="000F6815">
          <w:rPr>
            <w:webHidden/>
          </w:rPr>
          <w:fldChar w:fldCharType="begin"/>
        </w:r>
        <w:r w:rsidR="000F6815">
          <w:rPr>
            <w:webHidden/>
          </w:rPr>
          <w:instrText xml:space="preserve"> PAGEREF _Toc103854347 \h </w:instrText>
        </w:r>
        <w:r w:rsidR="000F6815">
          <w:rPr>
            <w:webHidden/>
          </w:rPr>
        </w:r>
        <w:r w:rsidR="000F6815">
          <w:rPr>
            <w:webHidden/>
          </w:rPr>
          <w:fldChar w:fldCharType="separate"/>
        </w:r>
        <w:r>
          <w:rPr>
            <w:webHidden/>
          </w:rPr>
          <w:t>4</w:t>
        </w:r>
        <w:r w:rsidR="000F6815">
          <w:rPr>
            <w:webHidden/>
          </w:rPr>
          <w:fldChar w:fldCharType="end"/>
        </w:r>
      </w:hyperlink>
    </w:p>
    <w:p w14:paraId="526FDC27" w14:textId="3BF0A650" w:rsidR="000F6815" w:rsidRDefault="00F65FC4" w:rsidP="000F6815">
      <w:pPr>
        <w:pStyle w:val="TableofFigures"/>
        <w:rPr>
          <w:rFonts w:asciiTheme="minorHAnsi" w:eastAsiaTheme="minorEastAsia" w:hAnsiTheme="minorHAnsi" w:cstheme="minorBidi"/>
        </w:rPr>
      </w:pPr>
      <w:hyperlink w:anchor="_Toc103854348" w:history="1">
        <w:r w:rsidR="000F6815" w:rsidRPr="005C447A">
          <w:rPr>
            <w:rStyle w:val="Hyperlink"/>
          </w:rPr>
          <w:t>Figure 5. Biosolids Tool limitations disclaimer.</w:t>
        </w:r>
        <w:r w:rsidR="000F6815">
          <w:rPr>
            <w:webHidden/>
          </w:rPr>
          <w:tab/>
        </w:r>
        <w:r w:rsidR="000F6815">
          <w:rPr>
            <w:webHidden/>
          </w:rPr>
          <w:fldChar w:fldCharType="begin"/>
        </w:r>
        <w:r w:rsidR="000F6815">
          <w:rPr>
            <w:webHidden/>
          </w:rPr>
          <w:instrText xml:space="preserve"> PAGEREF _Toc103854348 \h </w:instrText>
        </w:r>
        <w:r w:rsidR="000F6815">
          <w:rPr>
            <w:webHidden/>
          </w:rPr>
        </w:r>
        <w:r w:rsidR="000F6815">
          <w:rPr>
            <w:webHidden/>
          </w:rPr>
          <w:fldChar w:fldCharType="separate"/>
        </w:r>
        <w:r>
          <w:rPr>
            <w:webHidden/>
          </w:rPr>
          <w:t>7</w:t>
        </w:r>
        <w:r w:rsidR="000F6815">
          <w:rPr>
            <w:webHidden/>
          </w:rPr>
          <w:fldChar w:fldCharType="end"/>
        </w:r>
      </w:hyperlink>
    </w:p>
    <w:p w14:paraId="285DAFB1" w14:textId="344088B5" w:rsidR="000F6815" w:rsidRDefault="00F65FC4" w:rsidP="000F6815">
      <w:pPr>
        <w:pStyle w:val="TableofFigures"/>
        <w:rPr>
          <w:rFonts w:asciiTheme="minorHAnsi" w:eastAsiaTheme="minorEastAsia" w:hAnsiTheme="minorHAnsi" w:cstheme="minorBidi"/>
        </w:rPr>
      </w:pPr>
      <w:hyperlink w:anchor="_Toc103854349" w:history="1">
        <w:r w:rsidR="000F6815" w:rsidRPr="005C447A">
          <w:rPr>
            <w:rStyle w:val="Hyperlink"/>
          </w:rPr>
          <w:t xml:space="preserve">Figure 6. Biosolids Tool </w:t>
        </w:r>
        <w:r w:rsidR="000F6815" w:rsidRPr="005C447A">
          <w:rPr>
            <w:rStyle w:val="Hyperlink"/>
            <w:smallCaps/>
          </w:rPr>
          <w:t>Main Menu</w:t>
        </w:r>
        <w:r w:rsidR="000F6815" w:rsidRPr="005C447A">
          <w:rPr>
            <w:rStyle w:val="Hyperlink"/>
          </w:rPr>
          <w:t>.</w:t>
        </w:r>
        <w:r w:rsidR="000F6815">
          <w:rPr>
            <w:webHidden/>
          </w:rPr>
          <w:tab/>
        </w:r>
        <w:r w:rsidR="000F6815">
          <w:rPr>
            <w:webHidden/>
          </w:rPr>
          <w:fldChar w:fldCharType="begin"/>
        </w:r>
        <w:r w:rsidR="000F6815">
          <w:rPr>
            <w:webHidden/>
          </w:rPr>
          <w:instrText xml:space="preserve"> PAGEREF _Toc103854349 \h </w:instrText>
        </w:r>
        <w:r w:rsidR="000F6815">
          <w:rPr>
            <w:webHidden/>
          </w:rPr>
        </w:r>
        <w:r w:rsidR="000F6815">
          <w:rPr>
            <w:webHidden/>
          </w:rPr>
          <w:fldChar w:fldCharType="separate"/>
        </w:r>
        <w:r>
          <w:rPr>
            <w:webHidden/>
          </w:rPr>
          <w:t>7</w:t>
        </w:r>
        <w:r w:rsidR="000F6815">
          <w:rPr>
            <w:webHidden/>
          </w:rPr>
          <w:fldChar w:fldCharType="end"/>
        </w:r>
      </w:hyperlink>
    </w:p>
    <w:p w14:paraId="2D29E5E1" w14:textId="09A681EC" w:rsidR="000F6815" w:rsidRDefault="00F65FC4" w:rsidP="000F6815">
      <w:pPr>
        <w:pStyle w:val="TableofFigures"/>
        <w:rPr>
          <w:rFonts w:asciiTheme="minorHAnsi" w:eastAsiaTheme="minorEastAsia" w:hAnsiTheme="minorHAnsi" w:cstheme="minorBidi"/>
        </w:rPr>
      </w:pPr>
      <w:hyperlink w:anchor="_Toc103854350" w:history="1">
        <w:r w:rsidR="000F6815" w:rsidRPr="005C447A">
          <w:rPr>
            <w:rStyle w:val="Hyperlink"/>
          </w:rPr>
          <w:t xml:space="preserve">Figure 7. </w:t>
        </w:r>
        <w:r w:rsidR="000F6815" w:rsidRPr="005C447A">
          <w:rPr>
            <w:rStyle w:val="Hyperlink"/>
            <w:iCs/>
            <w:smallCaps/>
          </w:rPr>
          <w:t>Configure Model</w:t>
        </w:r>
        <w:r w:rsidR="000F6815" w:rsidRPr="005C447A">
          <w:rPr>
            <w:rStyle w:val="Hyperlink"/>
          </w:rPr>
          <w:t xml:space="preserve"> window, showing the top of the </w:t>
        </w:r>
        <w:r w:rsidR="000F6815" w:rsidRPr="005C447A">
          <w:rPr>
            <w:rStyle w:val="Hyperlink"/>
            <w:smallCaps/>
          </w:rPr>
          <w:t xml:space="preserve">Scenarios </w:t>
        </w:r>
        <w:r w:rsidR="000F6815" w:rsidRPr="005C447A">
          <w:rPr>
            <w:rStyle w:val="Hyperlink"/>
          </w:rPr>
          <w:t>tab.</w:t>
        </w:r>
        <w:r w:rsidR="000F6815">
          <w:rPr>
            <w:webHidden/>
          </w:rPr>
          <w:tab/>
        </w:r>
        <w:r w:rsidR="000F6815">
          <w:rPr>
            <w:webHidden/>
          </w:rPr>
          <w:fldChar w:fldCharType="begin"/>
        </w:r>
        <w:r w:rsidR="000F6815">
          <w:rPr>
            <w:webHidden/>
          </w:rPr>
          <w:instrText xml:space="preserve"> PAGEREF _Toc103854350 \h </w:instrText>
        </w:r>
        <w:r w:rsidR="000F6815">
          <w:rPr>
            <w:webHidden/>
          </w:rPr>
        </w:r>
        <w:r w:rsidR="000F6815">
          <w:rPr>
            <w:webHidden/>
          </w:rPr>
          <w:fldChar w:fldCharType="separate"/>
        </w:r>
        <w:r>
          <w:rPr>
            <w:webHidden/>
          </w:rPr>
          <w:t>9</w:t>
        </w:r>
        <w:r w:rsidR="000F6815">
          <w:rPr>
            <w:webHidden/>
          </w:rPr>
          <w:fldChar w:fldCharType="end"/>
        </w:r>
      </w:hyperlink>
    </w:p>
    <w:p w14:paraId="3B64B4A4" w14:textId="5DE9C0B6" w:rsidR="000F6815" w:rsidRDefault="00F65FC4" w:rsidP="000F6815">
      <w:pPr>
        <w:pStyle w:val="TableofFigures"/>
        <w:rPr>
          <w:rFonts w:asciiTheme="minorHAnsi" w:eastAsiaTheme="minorEastAsia" w:hAnsiTheme="minorHAnsi" w:cstheme="minorBidi"/>
        </w:rPr>
      </w:pPr>
      <w:hyperlink w:anchor="_Toc103854351" w:history="1">
        <w:r w:rsidR="000F6815" w:rsidRPr="005C447A">
          <w:rPr>
            <w:rStyle w:val="Hyperlink"/>
          </w:rPr>
          <w:t xml:space="preserve">Figure 8. </w:t>
        </w:r>
        <w:r w:rsidR="000F6815" w:rsidRPr="005C447A">
          <w:rPr>
            <w:rStyle w:val="Hyperlink"/>
            <w:iCs/>
            <w:smallCaps/>
          </w:rPr>
          <w:t xml:space="preserve">Configure </w:t>
        </w:r>
        <w:r w:rsidR="000F6815" w:rsidRPr="005C447A">
          <w:rPr>
            <w:rStyle w:val="Hyperlink"/>
          </w:rPr>
          <w:t xml:space="preserve">Model window, showing the bottom of the </w:t>
        </w:r>
        <w:r w:rsidR="000F6815" w:rsidRPr="005C447A">
          <w:rPr>
            <w:rStyle w:val="Hyperlink"/>
            <w:smallCaps/>
          </w:rPr>
          <w:t xml:space="preserve">Scenarios </w:t>
        </w:r>
        <w:r w:rsidR="000F6815" w:rsidRPr="005C447A">
          <w:rPr>
            <w:rStyle w:val="Hyperlink"/>
          </w:rPr>
          <w:t>tab  with both LAU and surface disposal selected.</w:t>
        </w:r>
        <w:r w:rsidR="000F6815">
          <w:rPr>
            <w:webHidden/>
          </w:rPr>
          <w:tab/>
        </w:r>
        <w:r w:rsidR="000F6815">
          <w:rPr>
            <w:webHidden/>
          </w:rPr>
          <w:fldChar w:fldCharType="begin"/>
        </w:r>
        <w:r w:rsidR="000F6815">
          <w:rPr>
            <w:webHidden/>
          </w:rPr>
          <w:instrText xml:space="preserve"> PAGEREF _Toc103854351 \h </w:instrText>
        </w:r>
        <w:r w:rsidR="000F6815">
          <w:rPr>
            <w:webHidden/>
          </w:rPr>
        </w:r>
        <w:r w:rsidR="000F6815">
          <w:rPr>
            <w:webHidden/>
          </w:rPr>
          <w:fldChar w:fldCharType="separate"/>
        </w:r>
        <w:r>
          <w:rPr>
            <w:webHidden/>
          </w:rPr>
          <w:t>10</w:t>
        </w:r>
        <w:r w:rsidR="000F6815">
          <w:rPr>
            <w:webHidden/>
          </w:rPr>
          <w:fldChar w:fldCharType="end"/>
        </w:r>
      </w:hyperlink>
    </w:p>
    <w:p w14:paraId="2172D17F" w14:textId="7DA0A06C" w:rsidR="000F6815" w:rsidRDefault="00F65FC4" w:rsidP="000F6815">
      <w:pPr>
        <w:pStyle w:val="TableofFigures"/>
        <w:rPr>
          <w:rFonts w:asciiTheme="minorHAnsi" w:eastAsiaTheme="minorEastAsia" w:hAnsiTheme="minorHAnsi" w:cstheme="minorBidi"/>
        </w:rPr>
      </w:pPr>
      <w:hyperlink w:anchor="_Toc103854352" w:history="1">
        <w:r w:rsidR="000F6815" w:rsidRPr="005C447A">
          <w:rPr>
            <w:rStyle w:val="Hyperlink"/>
          </w:rPr>
          <w:t>Figure 9. Chemicals tab: select chemicals, view and modify properties,  add new chemicals, and compare properties.</w:t>
        </w:r>
        <w:r w:rsidR="000F6815">
          <w:rPr>
            <w:webHidden/>
          </w:rPr>
          <w:tab/>
        </w:r>
        <w:r w:rsidR="000F6815">
          <w:rPr>
            <w:webHidden/>
          </w:rPr>
          <w:fldChar w:fldCharType="begin"/>
        </w:r>
        <w:r w:rsidR="000F6815">
          <w:rPr>
            <w:webHidden/>
          </w:rPr>
          <w:instrText xml:space="preserve"> PAGEREF _Toc103854352 \h </w:instrText>
        </w:r>
        <w:r w:rsidR="000F6815">
          <w:rPr>
            <w:webHidden/>
          </w:rPr>
        </w:r>
        <w:r w:rsidR="000F6815">
          <w:rPr>
            <w:webHidden/>
          </w:rPr>
          <w:fldChar w:fldCharType="separate"/>
        </w:r>
        <w:r>
          <w:rPr>
            <w:webHidden/>
          </w:rPr>
          <w:t>11</w:t>
        </w:r>
        <w:r w:rsidR="000F6815">
          <w:rPr>
            <w:webHidden/>
          </w:rPr>
          <w:fldChar w:fldCharType="end"/>
        </w:r>
      </w:hyperlink>
    </w:p>
    <w:p w14:paraId="4CDBA76A" w14:textId="60E424F8" w:rsidR="000F6815" w:rsidRDefault="00F65FC4" w:rsidP="000F6815">
      <w:pPr>
        <w:pStyle w:val="TableofFigures"/>
        <w:rPr>
          <w:rFonts w:asciiTheme="minorHAnsi" w:eastAsiaTheme="minorEastAsia" w:hAnsiTheme="minorHAnsi" w:cstheme="minorBidi"/>
        </w:rPr>
      </w:pPr>
      <w:hyperlink w:anchor="_Toc103854353" w:history="1">
        <w:r w:rsidR="000F6815" w:rsidRPr="005C447A">
          <w:rPr>
            <w:rStyle w:val="Hyperlink"/>
          </w:rPr>
          <w:t xml:space="preserve">Figure 10. </w:t>
        </w:r>
        <w:r w:rsidR="000F6815" w:rsidRPr="005C447A">
          <w:rPr>
            <w:rStyle w:val="Hyperlink"/>
            <w:smallCaps/>
          </w:rPr>
          <w:t>Add New Organic Chemical</w:t>
        </w:r>
        <w:r w:rsidR="000F6815" w:rsidRPr="005C447A">
          <w:rPr>
            <w:rStyle w:val="Hyperlink"/>
          </w:rPr>
          <w:t xml:space="preserve"> window.</w:t>
        </w:r>
        <w:r w:rsidR="000F6815">
          <w:rPr>
            <w:webHidden/>
          </w:rPr>
          <w:tab/>
        </w:r>
        <w:r w:rsidR="000F6815">
          <w:rPr>
            <w:webHidden/>
          </w:rPr>
          <w:fldChar w:fldCharType="begin"/>
        </w:r>
        <w:r w:rsidR="000F6815">
          <w:rPr>
            <w:webHidden/>
          </w:rPr>
          <w:instrText xml:space="preserve"> PAGEREF _Toc103854353 \h </w:instrText>
        </w:r>
        <w:r w:rsidR="000F6815">
          <w:rPr>
            <w:webHidden/>
          </w:rPr>
        </w:r>
        <w:r w:rsidR="000F6815">
          <w:rPr>
            <w:webHidden/>
          </w:rPr>
          <w:fldChar w:fldCharType="separate"/>
        </w:r>
        <w:r>
          <w:rPr>
            <w:webHidden/>
          </w:rPr>
          <w:t>13</w:t>
        </w:r>
        <w:r w:rsidR="000F6815">
          <w:rPr>
            <w:webHidden/>
          </w:rPr>
          <w:fldChar w:fldCharType="end"/>
        </w:r>
      </w:hyperlink>
    </w:p>
    <w:p w14:paraId="21B262C7" w14:textId="4AA6ADC6" w:rsidR="000F6815" w:rsidRDefault="00F65FC4" w:rsidP="000F6815">
      <w:pPr>
        <w:pStyle w:val="TableofFigures"/>
        <w:rPr>
          <w:rFonts w:asciiTheme="minorHAnsi" w:eastAsiaTheme="minorEastAsia" w:hAnsiTheme="minorHAnsi" w:cstheme="minorBidi"/>
        </w:rPr>
      </w:pPr>
      <w:hyperlink w:anchor="_Toc103854354" w:history="1">
        <w:r w:rsidR="000F6815" w:rsidRPr="005C447A">
          <w:rPr>
            <w:rStyle w:val="Hyperlink"/>
          </w:rPr>
          <w:t xml:space="preserve">Figure 11. </w:t>
        </w:r>
        <w:r w:rsidR="000F6815" w:rsidRPr="005C447A">
          <w:rPr>
            <w:rStyle w:val="Hyperlink"/>
            <w:smallCaps/>
          </w:rPr>
          <w:t>Add New Inorganic Chemical</w:t>
        </w:r>
        <w:r w:rsidR="000F6815" w:rsidRPr="005C447A">
          <w:rPr>
            <w:rStyle w:val="Hyperlink"/>
          </w:rPr>
          <w:t xml:space="preserve"> window.</w:t>
        </w:r>
        <w:r w:rsidR="000F6815">
          <w:rPr>
            <w:webHidden/>
          </w:rPr>
          <w:tab/>
        </w:r>
        <w:r w:rsidR="000F6815">
          <w:rPr>
            <w:webHidden/>
          </w:rPr>
          <w:fldChar w:fldCharType="begin"/>
        </w:r>
        <w:r w:rsidR="000F6815">
          <w:rPr>
            <w:webHidden/>
          </w:rPr>
          <w:instrText xml:space="preserve"> PAGEREF _Toc103854354 \h </w:instrText>
        </w:r>
        <w:r w:rsidR="000F6815">
          <w:rPr>
            <w:webHidden/>
          </w:rPr>
        </w:r>
        <w:r w:rsidR="000F6815">
          <w:rPr>
            <w:webHidden/>
          </w:rPr>
          <w:fldChar w:fldCharType="separate"/>
        </w:r>
        <w:r>
          <w:rPr>
            <w:webHidden/>
          </w:rPr>
          <w:t>14</w:t>
        </w:r>
        <w:r w:rsidR="000F6815">
          <w:rPr>
            <w:webHidden/>
          </w:rPr>
          <w:fldChar w:fldCharType="end"/>
        </w:r>
      </w:hyperlink>
    </w:p>
    <w:p w14:paraId="53843AE4" w14:textId="08F40618" w:rsidR="000F6815" w:rsidRDefault="00F65FC4" w:rsidP="000F6815">
      <w:pPr>
        <w:pStyle w:val="TableofFigures"/>
        <w:rPr>
          <w:rFonts w:asciiTheme="minorHAnsi" w:eastAsiaTheme="minorEastAsia" w:hAnsiTheme="minorHAnsi" w:cstheme="minorBidi"/>
        </w:rPr>
      </w:pPr>
      <w:hyperlink w:anchor="_Toc103854355" w:history="1">
        <w:r w:rsidR="000F6815" w:rsidRPr="005C447A">
          <w:rPr>
            <w:rStyle w:val="Hyperlink"/>
          </w:rPr>
          <w:t xml:space="preserve">Figure 12. </w:t>
        </w:r>
        <w:r w:rsidR="000F6815" w:rsidRPr="005C447A">
          <w:rPr>
            <w:rStyle w:val="Hyperlink"/>
            <w:smallCaps/>
          </w:rPr>
          <w:t>Chemical Properties</w:t>
        </w:r>
        <w:r w:rsidR="000F6815" w:rsidRPr="005C447A">
          <w:rPr>
            <w:rStyle w:val="Hyperlink"/>
          </w:rPr>
          <w:t xml:space="preserve"> screen header: in (A) </w:t>
        </w:r>
        <w:r w:rsidR="000F6815" w:rsidRPr="005C447A">
          <w:rPr>
            <w:rStyle w:val="Hyperlink"/>
            <w:smallCaps/>
          </w:rPr>
          <w:t>View</w:t>
        </w:r>
        <w:r w:rsidR="000F6815" w:rsidRPr="005C447A">
          <w:rPr>
            <w:rStyle w:val="Hyperlink"/>
          </w:rPr>
          <w:t xml:space="preserve"> mode for a built-in chemical, (B) </w:t>
        </w:r>
        <w:r w:rsidR="000F6815" w:rsidRPr="005C447A">
          <w:rPr>
            <w:rStyle w:val="Hyperlink"/>
            <w:smallCaps/>
          </w:rPr>
          <w:t>Edit</w:t>
        </w:r>
        <w:r w:rsidR="000F6815" w:rsidRPr="005C447A">
          <w:rPr>
            <w:rStyle w:val="Hyperlink"/>
          </w:rPr>
          <w:t xml:space="preserve"> mode for a built-in chemical, and (C) </w:t>
        </w:r>
        <w:r w:rsidR="000F6815" w:rsidRPr="005C447A">
          <w:rPr>
            <w:rStyle w:val="Hyperlink"/>
            <w:smallCaps/>
          </w:rPr>
          <w:t>View</w:t>
        </w:r>
        <w:r w:rsidR="000F6815" w:rsidRPr="005C447A">
          <w:rPr>
            <w:rStyle w:val="Hyperlink"/>
          </w:rPr>
          <w:t xml:space="preserve"> mode for a user-added chemical (</w:t>
        </w:r>
        <w:r w:rsidR="000F6815" w:rsidRPr="005C447A">
          <w:rPr>
            <w:rStyle w:val="Hyperlink"/>
            <w:smallCaps/>
          </w:rPr>
          <w:t>Delete</w:t>
        </w:r>
        <w:r w:rsidR="000F6815" w:rsidRPr="005C447A">
          <w:rPr>
            <w:rStyle w:val="Hyperlink"/>
          </w:rPr>
          <w:t xml:space="preserve"> </w:t>
        </w:r>
        <w:r w:rsidR="000F6815" w:rsidRPr="005C447A">
          <w:rPr>
            <w:rStyle w:val="Hyperlink"/>
            <w:smallCaps/>
          </w:rPr>
          <w:t>Chemical</w:t>
        </w:r>
        <w:r w:rsidR="000F6815" w:rsidRPr="005C447A">
          <w:rPr>
            <w:rStyle w:val="Hyperlink"/>
          </w:rPr>
          <w:t xml:space="preserve"> button visible).</w:t>
        </w:r>
        <w:r w:rsidR="000F6815">
          <w:rPr>
            <w:webHidden/>
          </w:rPr>
          <w:tab/>
        </w:r>
        <w:r w:rsidR="000F6815">
          <w:rPr>
            <w:webHidden/>
          </w:rPr>
          <w:fldChar w:fldCharType="begin"/>
        </w:r>
        <w:r w:rsidR="000F6815">
          <w:rPr>
            <w:webHidden/>
          </w:rPr>
          <w:instrText xml:space="preserve"> PAGEREF _Toc103854355 \h </w:instrText>
        </w:r>
        <w:r w:rsidR="000F6815">
          <w:rPr>
            <w:webHidden/>
          </w:rPr>
        </w:r>
        <w:r w:rsidR="000F6815">
          <w:rPr>
            <w:webHidden/>
          </w:rPr>
          <w:fldChar w:fldCharType="separate"/>
        </w:r>
        <w:r>
          <w:rPr>
            <w:webHidden/>
          </w:rPr>
          <w:t>18</w:t>
        </w:r>
        <w:r w:rsidR="000F6815">
          <w:rPr>
            <w:webHidden/>
          </w:rPr>
          <w:fldChar w:fldCharType="end"/>
        </w:r>
      </w:hyperlink>
    </w:p>
    <w:p w14:paraId="12D42B6D" w14:textId="03EFF19E" w:rsidR="000F6815" w:rsidRDefault="00F65FC4" w:rsidP="000F6815">
      <w:pPr>
        <w:pStyle w:val="TableofFigures"/>
        <w:rPr>
          <w:rFonts w:asciiTheme="minorHAnsi" w:eastAsiaTheme="minorEastAsia" w:hAnsiTheme="minorHAnsi" w:cstheme="minorBidi"/>
        </w:rPr>
      </w:pPr>
      <w:hyperlink w:anchor="_Toc103854356" w:history="1">
        <w:r w:rsidR="000F6815" w:rsidRPr="005C447A">
          <w:rPr>
            <w:rStyle w:val="Hyperlink"/>
          </w:rPr>
          <w:t>Figure 13. Chemical/Physical Properties tab.</w:t>
        </w:r>
        <w:r w:rsidR="000F6815">
          <w:rPr>
            <w:webHidden/>
          </w:rPr>
          <w:tab/>
        </w:r>
        <w:r w:rsidR="000F6815">
          <w:rPr>
            <w:webHidden/>
          </w:rPr>
          <w:fldChar w:fldCharType="begin"/>
        </w:r>
        <w:r w:rsidR="000F6815">
          <w:rPr>
            <w:webHidden/>
          </w:rPr>
          <w:instrText xml:space="preserve"> PAGEREF _Toc103854356 \h </w:instrText>
        </w:r>
        <w:r w:rsidR="000F6815">
          <w:rPr>
            <w:webHidden/>
          </w:rPr>
        </w:r>
        <w:r w:rsidR="000F6815">
          <w:rPr>
            <w:webHidden/>
          </w:rPr>
          <w:fldChar w:fldCharType="separate"/>
        </w:r>
        <w:r>
          <w:rPr>
            <w:webHidden/>
          </w:rPr>
          <w:t>21</w:t>
        </w:r>
        <w:r w:rsidR="000F6815">
          <w:rPr>
            <w:webHidden/>
          </w:rPr>
          <w:fldChar w:fldCharType="end"/>
        </w:r>
      </w:hyperlink>
    </w:p>
    <w:p w14:paraId="7092ABF8" w14:textId="698075D6" w:rsidR="000F6815" w:rsidRDefault="00F65FC4" w:rsidP="000F6815">
      <w:pPr>
        <w:pStyle w:val="TableofFigures"/>
        <w:rPr>
          <w:rFonts w:asciiTheme="minorHAnsi" w:eastAsiaTheme="minorEastAsia" w:hAnsiTheme="minorHAnsi" w:cstheme="minorBidi"/>
        </w:rPr>
      </w:pPr>
      <w:hyperlink w:anchor="_Toc103854357" w:history="1">
        <w:r w:rsidR="000F6815" w:rsidRPr="005C447A">
          <w:rPr>
            <w:rStyle w:val="Hyperlink"/>
          </w:rPr>
          <w:t>Figure 14.</w:t>
        </w:r>
        <w:r w:rsidR="000F6815" w:rsidRPr="005C447A">
          <w:rPr>
            <w:rStyle w:val="Hyperlink"/>
            <w:i/>
            <w:iCs/>
          </w:rPr>
          <w:t xml:space="preserve"> </w:t>
        </w:r>
        <w:r w:rsidR="000F6815" w:rsidRPr="005C447A">
          <w:rPr>
            <w:rStyle w:val="Hyperlink"/>
            <w:smallCaps/>
          </w:rPr>
          <w:t>Chemical Properties</w:t>
        </w:r>
        <w:r w:rsidR="000F6815" w:rsidRPr="005C447A">
          <w:rPr>
            <w:rStyle w:val="Hyperlink"/>
          </w:rPr>
          <w:t xml:space="preserve"> window: view or edit ecological BAFs.</w:t>
        </w:r>
        <w:r w:rsidR="000F6815">
          <w:rPr>
            <w:webHidden/>
          </w:rPr>
          <w:tab/>
        </w:r>
        <w:r w:rsidR="000F6815">
          <w:rPr>
            <w:webHidden/>
          </w:rPr>
          <w:fldChar w:fldCharType="begin"/>
        </w:r>
        <w:r w:rsidR="000F6815">
          <w:rPr>
            <w:webHidden/>
          </w:rPr>
          <w:instrText xml:space="preserve"> PAGEREF _Toc103854357 \h </w:instrText>
        </w:r>
        <w:r w:rsidR="000F6815">
          <w:rPr>
            <w:webHidden/>
          </w:rPr>
        </w:r>
        <w:r w:rsidR="000F6815">
          <w:rPr>
            <w:webHidden/>
          </w:rPr>
          <w:fldChar w:fldCharType="separate"/>
        </w:r>
        <w:r>
          <w:rPr>
            <w:webHidden/>
          </w:rPr>
          <w:t>22</w:t>
        </w:r>
        <w:r w:rsidR="000F6815">
          <w:rPr>
            <w:webHidden/>
          </w:rPr>
          <w:fldChar w:fldCharType="end"/>
        </w:r>
      </w:hyperlink>
    </w:p>
    <w:p w14:paraId="45DC2BD9" w14:textId="215BEAB6" w:rsidR="000F6815" w:rsidRDefault="00F65FC4" w:rsidP="000F6815">
      <w:pPr>
        <w:pStyle w:val="TableofFigures"/>
        <w:rPr>
          <w:rFonts w:asciiTheme="minorHAnsi" w:eastAsiaTheme="minorEastAsia" w:hAnsiTheme="minorHAnsi" w:cstheme="minorBidi"/>
        </w:rPr>
      </w:pPr>
      <w:hyperlink w:anchor="_Toc103854358" w:history="1">
        <w:r w:rsidR="000F6815" w:rsidRPr="005C447A">
          <w:rPr>
            <w:rStyle w:val="Hyperlink"/>
          </w:rPr>
          <w:t>Figure 15.</w:t>
        </w:r>
        <w:r w:rsidR="000F6815" w:rsidRPr="005C447A">
          <w:rPr>
            <w:rStyle w:val="Hyperlink"/>
            <w:i/>
            <w:iCs/>
          </w:rPr>
          <w:t xml:space="preserve"> </w:t>
        </w:r>
        <w:r w:rsidR="000F6815" w:rsidRPr="005C447A">
          <w:rPr>
            <w:rStyle w:val="Hyperlink"/>
            <w:smallCaps/>
          </w:rPr>
          <w:t xml:space="preserve">Chemical </w:t>
        </w:r>
        <w:r w:rsidR="000F6815" w:rsidRPr="005C447A">
          <w:rPr>
            <w:rStyle w:val="Hyperlink"/>
          </w:rPr>
          <w:t>Properties window: view or edit ecological toxicity values.</w:t>
        </w:r>
        <w:r w:rsidR="000F6815">
          <w:rPr>
            <w:webHidden/>
          </w:rPr>
          <w:tab/>
        </w:r>
        <w:r w:rsidR="000F6815">
          <w:rPr>
            <w:webHidden/>
          </w:rPr>
          <w:fldChar w:fldCharType="begin"/>
        </w:r>
        <w:r w:rsidR="000F6815">
          <w:rPr>
            <w:webHidden/>
          </w:rPr>
          <w:instrText xml:space="preserve"> PAGEREF _Toc103854358 \h </w:instrText>
        </w:r>
        <w:r w:rsidR="000F6815">
          <w:rPr>
            <w:webHidden/>
          </w:rPr>
        </w:r>
        <w:r w:rsidR="000F6815">
          <w:rPr>
            <w:webHidden/>
          </w:rPr>
          <w:fldChar w:fldCharType="separate"/>
        </w:r>
        <w:r>
          <w:rPr>
            <w:webHidden/>
          </w:rPr>
          <w:t>23</w:t>
        </w:r>
        <w:r w:rsidR="000F6815">
          <w:rPr>
            <w:webHidden/>
          </w:rPr>
          <w:fldChar w:fldCharType="end"/>
        </w:r>
      </w:hyperlink>
    </w:p>
    <w:p w14:paraId="2A8B0D42" w14:textId="0BD94747" w:rsidR="000F6815" w:rsidRDefault="00F65FC4" w:rsidP="000F6815">
      <w:pPr>
        <w:pStyle w:val="TableofFigures"/>
        <w:rPr>
          <w:rFonts w:asciiTheme="minorHAnsi" w:eastAsiaTheme="minorEastAsia" w:hAnsiTheme="minorHAnsi" w:cstheme="minorBidi"/>
        </w:rPr>
      </w:pPr>
      <w:hyperlink w:anchor="_Toc103854359" w:history="1">
        <w:r w:rsidR="000F6815" w:rsidRPr="005C447A">
          <w:rPr>
            <w:rStyle w:val="Hyperlink"/>
          </w:rPr>
          <w:t>Figure 16. Chemical Property Comparison window.</w:t>
        </w:r>
        <w:r w:rsidR="000F6815">
          <w:rPr>
            <w:webHidden/>
          </w:rPr>
          <w:tab/>
        </w:r>
        <w:r w:rsidR="000F6815">
          <w:rPr>
            <w:webHidden/>
          </w:rPr>
          <w:fldChar w:fldCharType="begin"/>
        </w:r>
        <w:r w:rsidR="000F6815">
          <w:rPr>
            <w:webHidden/>
          </w:rPr>
          <w:instrText xml:space="preserve"> PAGEREF _Toc103854359 \h </w:instrText>
        </w:r>
        <w:r w:rsidR="000F6815">
          <w:rPr>
            <w:webHidden/>
          </w:rPr>
        </w:r>
        <w:r w:rsidR="000F6815">
          <w:rPr>
            <w:webHidden/>
          </w:rPr>
          <w:fldChar w:fldCharType="separate"/>
        </w:r>
        <w:r>
          <w:rPr>
            <w:webHidden/>
          </w:rPr>
          <w:t>24</w:t>
        </w:r>
        <w:r w:rsidR="000F6815">
          <w:rPr>
            <w:webHidden/>
          </w:rPr>
          <w:fldChar w:fldCharType="end"/>
        </w:r>
      </w:hyperlink>
    </w:p>
    <w:p w14:paraId="33886642" w14:textId="1BCFA81A" w:rsidR="000F6815" w:rsidRDefault="00F65FC4" w:rsidP="000F6815">
      <w:pPr>
        <w:pStyle w:val="TableofFigures"/>
        <w:rPr>
          <w:rFonts w:asciiTheme="minorHAnsi" w:eastAsiaTheme="minorEastAsia" w:hAnsiTheme="minorHAnsi" w:cstheme="minorBidi"/>
        </w:rPr>
      </w:pPr>
      <w:hyperlink w:anchor="_Toc103854360" w:history="1">
        <w:r w:rsidR="000F6815" w:rsidRPr="005C447A">
          <w:rPr>
            <w:rStyle w:val="Hyperlink"/>
          </w:rPr>
          <w:t xml:space="preserve">Figure 17. </w:t>
        </w:r>
        <w:r w:rsidR="000F6815" w:rsidRPr="005C447A">
          <w:rPr>
            <w:rStyle w:val="Hyperlink"/>
            <w:smallCaps/>
          </w:rPr>
          <w:t>Human Exposure</w:t>
        </w:r>
        <w:r w:rsidR="000F6815" w:rsidRPr="005C447A">
          <w:rPr>
            <w:rStyle w:val="Hyperlink"/>
          </w:rPr>
          <w:t xml:space="preserve"> tab: Select one or more pathways to run.</w:t>
        </w:r>
        <w:r w:rsidR="000F6815">
          <w:rPr>
            <w:webHidden/>
          </w:rPr>
          <w:tab/>
        </w:r>
        <w:r w:rsidR="000F6815">
          <w:rPr>
            <w:webHidden/>
          </w:rPr>
          <w:fldChar w:fldCharType="begin"/>
        </w:r>
        <w:r w:rsidR="000F6815">
          <w:rPr>
            <w:webHidden/>
          </w:rPr>
          <w:instrText xml:space="preserve"> PAGEREF _Toc103854360 \h </w:instrText>
        </w:r>
        <w:r w:rsidR="000F6815">
          <w:rPr>
            <w:webHidden/>
          </w:rPr>
        </w:r>
        <w:r w:rsidR="000F6815">
          <w:rPr>
            <w:webHidden/>
          </w:rPr>
          <w:fldChar w:fldCharType="separate"/>
        </w:r>
        <w:r>
          <w:rPr>
            <w:webHidden/>
          </w:rPr>
          <w:t>25</w:t>
        </w:r>
        <w:r w:rsidR="000F6815">
          <w:rPr>
            <w:webHidden/>
          </w:rPr>
          <w:fldChar w:fldCharType="end"/>
        </w:r>
      </w:hyperlink>
    </w:p>
    <w:p w14:paraId="12C7BE2F" w14:textId="630B58B7" w:rsidR="000F6815" w:rsidRDefault="00F65FC4" w:rsidP="000F6815">
      <w:pPr>
        <w:pStyle w:val="TableofFigures"/>
        <w:rPr>
          <w:rFonts w:asciiTheme="minorHAnsi" w:eastAsiaTheme="minorEastAsia" w:hAnsiTheme="minorHAnsi" w:cstheme="minorBidi"/>
        </w:rPr>
      </w:pPr>
      <w:hyperlink w:anchor="_Toc103854361" w:history="1">
        <w:r w:rsidR="000F6815" w:rsidRPr="005C447A">
          <w:rPr>
            <w:rStyle w:val="Hyperlink"/>
          </w:rPr>
          <w:t xml:space="preserve">Figure 18. </w:t>
        </w:r>
        <w:r w:rsidR="000F6815" w:rsidRPr="005C447A">
          <w:rPr>
            <w:rStyle w:val="Hyperlink"/>
            <w:smallCaps/>
          </w:rPr>
          <w:t>Ecological Exposure</w:t>
        </w:r>
        <w:r w:rsidR="000F6815" w:rsidRPr="005C447A">
          <w:rPr>
            <w:rStyle w:val="Hyperlink"/>
          </w:rPr>
          <w:t xml:space="preserve"> tab: Select one or more.</w:t>
        </w:r>
        <w:r w:rsidR="000F6815">
          <w:rPr>
            <w:webHidden/>
          </w:rPr>
          <w:tab/>
        </w:r>
        <w:r w:rsidR="000F6815">
          <w:rPr>
            <w:webHidden/>
          </w:rPr>
          <w:fldChar w:fldCharType="begin"/>
        </w:r>
        <w:r w:rsidR="000F6815">
          <w:rPr>
            <w:webHidden/>
          </w:rPr>
          <w:instrText xml:space="preserve"> PAGEREF _Toc103854361 \h </w:instrText>
        </w:r>
        <w:r w:rsidR="000F6815">
          <w:rPr>
            <w:webHidden/>
          </w:rPr>
        </w:r>
        <w:r w:rsidR="000F6815">
          <w:rPr>
            <w:webHidden/>
          </w:rPr>
          <w:fldChar w:fldCharType="separate"/>
        </w:r>
        <w:r>
          <w:rPr>
            <w:webHidden/>
          </w:rPr>
          <w:t>26</w:t>
        </w:r>
        <w:r w:rsidR="000F6815">
          <w:rPr>
            <w:webHidden/>
          </w:rPr>
          <w:fldChar w:fldCharType="end"/>
        </w:r>
      </w:hyperlink>
    </w:p>
    <w:p w14:paraId="13D7BA23" w14:textId="4326319C" w:rsidR="000F6815" w:rsidRDefault="00F65FC4" w:rsidP="000F6815">
      <w:pPr>
        <w:pStyle w:val="TableofFigures"/>
        <w:rPr>
          <w:rFonts w:asciiTheme="minorHAnsi" w:eastAsiaTheme="minorEastAsia" w:hAnsiTheme="minorHAnsi" w:cstheme="minorBidi"/>
        </w:rPr>
      </w:pPr>
      <w:hyperlink w:anchor="_Toc103854362" w:history="1">
        <w:r w:rsidR="000F6815" w:rsidRPr="005C447A">
          <w:rPr>
            <w:rStyle w:val="Hyperlink"/>
          </w:rPr>
          <w:t>Figure 19. View/Edit Receptor Diet form.</w:t>
        </w:r>
        <w:r w:rsidR="000F6815">
          <w:rPr>
            <w:webHidden/>
          </w:rPr>
          <w:tab/>
        </w:r>
        <w:r w:rsidR="000F6815">
          <w:rPr>
            <w:webHidden/>
          </w:rPr>
          <w:fldChar w:fldCharType="begin"/>
        </w:r>
        <w:r w:rsidR="000F6815">
          <w:rPr>
            <w:webHidden/>
          </w:rPr>
          <w:instrText xml:space="preserve"> PAGEREF _Toc103854362 \h </w:instrText>
        </w:r>
        <w:r w:rsidR="000F6815">
          <w:rPr>
            <w:webHidden/>
          </w:rPr>
        </w:r>
        <w:r w:rsidR="000F6815">
          <w:rPr>
            <w:webHidden/>
          </w:rPr>
          <w:fldChar w:fldCharType="separate"/>
        </w:r>
        <w:r>
          <w:rPr>
            <w:webHidden/>
          </w:rPr>
          <w:t>27</w:t>
        </w:r>
        <w:r w:rsidR="000F6815">
          <w:rPr>
            <w:webHidden/>
          </w:rPr>
          <w:fldChar w:fldCharType="end"/>
        </w:r>
      </w:hyperlink>
    </w:p>
    <w:p w14:paraId="560C98DF" w14:textId="53736E39" w:rsidR="000F6815" w:rsidRDefault="00F65FC4" w:rsidP="000F6815">
      <w:pPr>
        <w:pStyle w:val="TableofFigures"/>
        <w:rPr>
          <w:rFonts w:asciiTheme="minorHAnsi" w:eastAsiaTheme="minorEastAsia" w:hAnsiTheme="minorHAnsi" w:cstheme="minorBidi"/>
        </w:rPr>
      </w:pPr>
      <w:hyperlink w:anchor="_Toc103854363" w:history="1">
        <w:r w:rsidR="000F6815" w:rsidRPr="005C447A">
          <w:rPr>
            <w:rStyle w:val="Hyperlink"/>
          </w:rPr>
          <w:t>Figure 20. Inputs tab: Scenario inputs.</w:t>
        </w:r>
        <w:r w:rsidR="000F6815">
          <w:rPr>
            <w:webHidden/>
          </w:rPr>
          <w:tab/>
        </w:r>
        <w:r w:rsidR="000F6815">
          <w:rPr>
            <w:webHidden/>
          </w:rPr>
          <w:fldChar w:fldCharType="begin"/>
        </w:r>
        <w:r w:rsidR="000F6815">
          <w:rPr>
            <w:webHidden/>
          </w:rPr>
          <w:instrText xml:space="preserve"> PAGEREF _Toc103854363 \h </w:instrText>
        </w:r>
        <w:r w:rsidR="000F6815">
          <w:rPr>
            <w:webHidden/>
          </w:rPr>
        </w:r>
        <w:r w:rsidR="000F6815">
          <w:rPr>
            <w:webHidden/>
          </w:rPr>
          <w:fldChar w:fldCharType="separate"/>
        </w:r>
        <w:r>
          <w:rPr>
            <w:webHidden/>
          </w:rPr>
          <w:t>28</w:t>
        </w:r>
        <w:r w:rsidR="000F6815">
          <w:rPr>
            <w:webHidden/>
          </w:rPr>
          <w:fldChar w:fldCharType="end"/>
        </w:r>
      </w:hyperlink>
    </w:p>
    <w:p w14:paraId="3C5179C7" w14:textId="726D924D" w:rsidR="000F6815" w:rsidRDefault="00F65FC4" w:rsidP="000F6815">
      <w:pPr>
        <w:pStyle w:val="TableofFigures"/>
        <w:rPr>
          <w:rFonts w:asciiTheme="minorHAnsi" w:eastAsiaTheme="minorEastAsia" w:hAnsiTheme="minorHAnsi" w:cstheme="minorBidi"/>
        </w:rPr>
      </w:pPr>
      <w:hyperlink w:anchor="_Toc103854364" w:history="1">
        <w:r w:rsidR="000F6815" w:rsidRPr="005C447A">
          <w:rPr>
            <w:rStyle w:val="Hyperlink"/>
          </w:rPr>
          <w:t>Figure 21. Inputs tab: Fate and transport inputs.</w:t>
        </w:r>
        <w:r w:rsidR="000F6815">
          <w:rPr>
            <w:webHidden/>
          </w:rPr>
          <w:tab/>
        </w:r>
        <w:r w:rsidR="000F6815">
          <w:rPr>
            <w:webHidden/>
          </w:rPr>
          <w:fldChar w:fldCharType="begin"/>
        </w:r>
        <w:r w:rsidR="000F6815">
          <w:rPr>
            <w:webHidden/>
          </w:rPr>
          <w:instrText xml:space="preserve"> PAGEREF _Toc103854364 \h </w:instrText>
        </w:r>
        <w:r w:rsidR="000F6815">
          <w:rPr>
            <w:webHidden/>
          </w:rPr>
        </w:r>
        <w:r w:rsidR="000F6815">
          <w:rPr>
            <w:webHidden/>
          </w:rPr>
          <w:fldChar w:fldCharType="separate"/>
        </w:r>
        <w:r>
          <w:rPr>
            <w:webHidden/>
          </w:rPr>
          <w:t>29</w:t>
        </w:r>
        <w:r w:rsidR="000F6815">
          <w:rPr>
            <w:webHidden/>
          </w:rPr>
          <w:fldChar w:fldCharType="end"/>
        </w:r>
      </w:hyperlink>
    </w:p>
    <w:p w14:paraId="1CB9AE2C" w14:textId="3DFB85C2" w:rsidR="000F6815" w:rsidRDefault="00F65FC4" w:rsidP="000F6815">
      <w:pPr>
        <w:pStyle w:val="TableofFigures"/>
        <w:rPr>
          <w:rFonts w:asciiTheme="minorHAnsi" w:eastAsiaTheme="minorEastAsia" w:hAnsiTheme="minorHAnsi" w:cstheme="minorBidi"/>
        </w:rPr>
      </w:pPr>
      <w:hyperlink w:anchor="_Toc103854365" w:history="1">
        <w:r w:rsidR="000F6815" w:rsidRPr="005C447A">
          <w:rPr>
            <w:rStyle w:val="Hyperlink"/>
          </w:rPr>
          <w:t>Figure 22. Inputs tab: Chemical inputs.</w:t>
        </w:r>
        <w:r w:rsidR="000F6815">
          <w:rPr>
            <w:webHidden/>
          </w:rPr>
          <w:tab/>
        </w:r>
        <w:r w:rsidR="000F6815">
          <w:rPr>
            <w:webHidden/>
          </w:rPr>
          <w:fldChar w:fldCharType="begin"/>
        </w:r>
        <w:r w:rsidR="000F6815">
          <w:rPr>
            <w:webHidden/>
          </w:rPr>
          <w:instrText xml:space="preserve"> PAGEREF _Toc103854365 \h </w:instrText>
        </w:r>
        <w:r w:rsidR="000F6815">
          <w:rPr>
            <w:webHidden/>
          </w:rPr>
        </w:r>
        <w:r w:rsidR="000F6815">
          <w:rPr>
            <w:webHidden/>
          </w:rPr>
          <w:fldChar w:fldCharType="separate"/>
        </w:r>
        <w:r>
          <w:rPr>
            <w:webHidden/>
          </w:rPr>
          <w:t>29</w:t>
        </w:r>
        <w:r w:rsidR="000F6815">
          <w:rPr>
            <w:webHidden/>
          </w:rPr>
          <w:fldChar w:fldCharType="end"/>
        </w:r>
      </w:hyperlink>
    </w:p>
    <w:p w14:paraId="1A5B9086" w14:textId="45B54461" w:rsidR="000F6815" w:rsidRDefault="00F65FC4" w:rsidP="000F6815">
      <w:pPr>
        <w:pStyle w:val="TableofFigures"/>
        <w:rPr>
          <w:rFonts w:asciiTheme="minorHAnsi" w:eastAsiaTheme="minorEastAsia" w:hAnsiTheme="minorHAnsi" w:cstheme="minorBidi"/>
        </w:rPr>
      </w:pPr>
      <w:hyperlink w:anchor="_Toc103854366" w:history="1">
        <w:r w:rsidR="000F6815" w:rsidRPr="005C447A">
          <w:rPr>
            <w:rStyle w:val="Hyperlink"/>
          </w:rPr>
          <w:t>Figure 23. Inputs tab: Human exposure factors.</w:t>
        </w:r>
        <w:r w:rsidR="000F6815">
          <w:rPr>
            <w:webHidden/>
          </w:rPr>
          <w:tab/>
        </w:r>
        <w:r w:rsidR="000F6815">
          <w:rPr>
            <w:webHidden/>
          </w:rPr>
          <w:fldChar w:fldCharType="begin"/>
        </w:r>
        <w:r w:rsidR="000F6815">
          <w:rPr>
            <w:webHidden/>
          </w:rPr>
          <w:instrText xml:space="preserve"> PAGEREF _Toc103854366 \h </w:instrText>
        </w:r>
        <w:r w:rsidR="000F6815">
          <w:rPr>
            <w:webHidden/>
          </w:rPr>
        </w:r>
        <w:r w:rsidR="000F6815">
          <w:rPr>
            <w:webHidden/>
          </w:rPr>
          <w:fldChar w:fldCharType="separate"/>
        </w:r>
        <w:r>
          <w:rPr>
            <w:webHidden/>
          </w:rPr>
          <w:t>30</w:t>
        </w:r>
        <w:r w:rsidR="000F6815">
          <w:rPr>
            <w:webHidden/>
          </w:rPr>
          <w:fldChar w:fldCharType="end"/>
        </w:r>
      </w:hyperlink>
    </w:p>
    <w:p w14:paraId="45C4238B" w14:textId="4E04B9E7" w:rsidR="000F6815" w:rsidRDefault="00F65FC4" w:rsidP="000F6815">
      <w:pPr>
        <w:pStyle w:val="TableofFigures"/>
        <w:rPr>
          <w:rFonts w:asciiTheme="minorHAnsi" w:eastAsiaTheme="minorEastAsia" w:hAnsiTheme="minorHAnsi" w:cstheme="minorBidi"/>
        </w:rPr>
      </w:pPr>
      <w:hyperlink w:anchor="_Toc103854367" w:history="1">
        <w:r w:rsidR="000F6815" w:rsidRPr="005C447A">
          <w:rPr>
            <w:rStyle w:val="Hyperlink"/>
          </w:rPr>
          <w:t>Figure 24. Inputs tab: Ecological exposure factors.</w:t>
        </w:r>
        <w:r w:rsidR="000F6815">
          <w:rPr>
            <w:webHidden/>
          </w:rPr>
          <w:tab/>
        </w:r>
        <w:r w:rsidR="000F6815">
          <w:rPr>
            <w:webHidden/>
          </w:rPr>
          <w:fldChar w:fldCharType="begin"/>
        </w:r>
        <w:r w:rsidR="000F6815">
          <w:rPr>
            <w:webHidden/>
          </w:rPr>
          <w:instrText xml:space="preserve"> PAGEREF _Toc103854367 \h </w:instrText>
        </w:r>
        <w:r w:rsidR="000F6815">
          <w:rPr>
            <w:webHidden/>
          </w:rPr>
        </w:r>
        <w:r w:rsidR="000F6815">
          <w:rPr>
            <w:webHidden/>
          </w:rPr>
          <w:fldChar w:fldCharType="separate"/>
        </w:r>
        <w:r>
          <w:rPr>
            <w:webHidden/>
          </w:rPr>
          <w:t>30</w:t>
        </w:r>
        <w:r w:rsidR="000F6815">
          <w:rPr>
            <w:webHidden/>
          </w:rPr>
          <w:fldChar w:fldCharType="end"/>
        </w:r>
      </w:hyperlink>
    </w:p>
    <w:p w14:paraId="1094748C" w14:textId="4FC07917" w:rsidR="000F6815" w:rsidRDefault="00F65FC4" w:rsidP="000F6815">
      <w:pPr>
        <w:pStyle w:val="TableofFigures"/>
        <w:rPr>
          <w:rFonts w:asciiTheme="minorHAnsi" w:eastAsiaTheme="minorEastAsia" w:hAnsiTheme="minorHAnsi" w:cstheme="minorBidi"/>
        </w:rPr>
      </w:pPr>
      <w:hyperlink w:anchor="_Toc103854368" w:history="1">
        <w:r w:rsidR="000F6815" w:rsidRPr="005C447A">
          <w:rPr>
            <w:rStyle w:val="Hyperlink"/>
          </w:rPr>
          <w:t>Figure 25. Inputs tab: Ecological bioaccumulation factors.</w:t>
        </w:r>
        <w:r w:rsidR="000F6815">
          <w:rPr>
            <w:webHidden/>
          </w:rPr>
          <w:tab/>
        </w:r>
        <w:r w:rsidR="000F6815">
          <w:rPr>
            <w:webHidden/>
          </w:rPr>
          <w:fldChar w:fldCharType="begin"/>
        </w:r>
        <w:r w:rsidR="000F6815">
          <w:rPr>
            <w:webHidden/>
          </w:rPr>
          <w:instrText xml:space="preserve"> PAGEREF _Toc103854368 \h </w:instrText>
        </w:r>
        <w:r w:rsidR="000F6815">
          <w:rPr>
            <w:webHidden/>
          </w:rPr>
        </w:r>
        <w:r w:rsidR="000F6815">
          <w:rPr>
            <w:webHidden/>
          </w:rPr>
          <w:fldChar w:fldCharType="separate"/>
        </w:r>
        <w:r>
          <w:rPr>
            <w:webHidden/>
          </w:rPr>
          <w:t>30</w:t>
        </w:r>
        <w:r w:rsidR="000F6815">
          <w:rPr>
            <w:webHidden/>
          </w:rPr>
          <w:fldChar w:fldCharType="end"/>
        </w:r>
      </w:hyperlink>
    </w:p>
    <w:p w14:paraId="2A47EBAA" w14:textId="5CE0C8A0" w:rsidR="000F6815" w:rsidRDefault="00F65FC4" w:rsidP="000F6815">
      <w:pPr>
        <w:pStyle w:val="TableofFigures"/>
        <w:rPr>
          <w:rFonts w:asciiTheme="minorHAnsi" w:eastAsiaTheme="minorEastAsia" w:hAnsiTheme="minorHAnsi" w:cstheme="minorBidi"/>
        </w:rPr>
      </w:pPr>
      <w:hyperlink w:anchor="_Toc103854369" w:history="1">
        <w:r w:rsidR="000F6815" w:rsidRPr="005C447A">
          <w:rPr>
            <w:rStyle w:val="Hyperlink"/>
          </w:rPr>
          <w:t>Figure 26. Inputs tab: Ecological toxicity values.</w:t>
        </w:r>
        <w:r w:rsidR="000F6815">
          <w:rPr>
            <w:webHidden/>
          </w:rPr>
          <w:tab/>
        </w:r>
        <w:r w:rsidR="000F6815">
          <w:rPr>
            <w:webHidden/>
          </w:rPr>
          <w:fldChar w:fldCharType="begin"/>
        </w:r>
        <w:r w:rsidR="000F6815">
          <w:rPr>
            <w:webHidden/>
          </w:rPr>
          <w:instrText xml:space="preserve"> PAGEREF _Toc103854369 \h </w:instrText>
        </w:r>
        <w:r w:rsidR="000F6815">
          <w:rPr>
            <w:webHidden/>
          </w:rPr>
        </w:r>
        <w:r w:rsidR="000F6815">
          <w:rPr>
            <w:webHidden/>
          </w:rPr>
          <w:fldChar w:fldCharType="separate"/>
        </w:r>
        <w:r>
          <w:rPr>
            <w:webHidden/>
          </w:rPr>
          <w:t>30</w:t>
        </w:r>
        <w:r w:rsidR="000F6815">
          <w:rPr>
            <w:webHidden/>
          </w:rPr>
          <w:fldChar w:fldCharType="end"/>
        </w:r>
      </w:hyperlink>
    </w:p>
    <w:p w14:paraId="24289334" w14:textId="06854A5B" w:rsidR="000F6815" w:rsidRDefault="00F65FC4" w:rsidP="000F6815">
      <w:pPr>
        <w:pStyle w:val="TableofFigures"/>
        <w:rPr>
          <w:rFonts w:asciiTheme="minorHAnsi" w:eastAsiaTheme="minorEastAsia" w:hAnsiTheme="minorHAnsi" w:cstheme="minorBidi"/>
        </w:rPr>
      </w:pPr>
      <w:hyperlink w:anchor="_Toc103854370" w:history="1">
        <w:r w:rsidR="000F6815" w:rsidRPr="005C447A">
          <w:rPr>
            <w:rStyle w:val="Hyperlink"/>
          </w:rPr>
          <w:t xml:space="preserve">Figure 27. </w:t>
        </w:r>
        <w:r w:rsidR="000F6815" w:rsidRPr="005C447A">
          <w:rPr>
            <w:rStyle w:val="Hyperlink"/>
            <w:smallCaps/>
          </w:rPr>
          <w:t>Results</w:t>
        </w:r>
        <w:r w:rsidR="000F6815" w:rsidRPr="005C447A">
          <w:rPr>
            <w:rStyle w:val="Hyperlink"/>
          </w:rPr>
          <w:t xml:space="preserve"> window showing LAU results.</w:t>
        </w:r>
        <w:r w:rsidR="000F6815">
          <w:rPr>
            <w:webHidden/>
          </w:rPr>
          <w:tab/>
        </w:r>
        <w:r w:rsidR="000F6815">
          <w:rPr>
            <w:webHidden/>
          </w:rPr>
          <w:fldChar w:fldCharType="begin"/>
        </w:r>
        <w:r w:rsidR="000F6815">
          <w:rPr>
            <w:webHidden/>
          </w:rPr>
          <w:instrText xml:space="preserve"> PAGEREF _Toc103854370 \h </w:instrText>
        </w:r>
        <w:r w:rsidR="000F6815">
          <w:rPr>
            <w:webHidden/>
          </w:rPr>
        </w:r>
        <w:r w:rsidR="000F6815">
          <w:rPr>
            <w:webHidden/>
          </w:rPr>
          <w:fldChar w:fldCharType="separate"/>
        </w:r>
        <w:r>
          <w:rPr>
            <w:webHidden/>
          </w:rPr>
          <w:t>33</w:t>
        </w:r>
        <w:r w:rsidR="000F6815">
          <w:rPr>
            <w:webHidden/>
          </w:rPr>
          <w:fldChar w:fldCharType="end"/>
        </w:r>
      </w:hyperlink>
    </w:p>
    <w:p w14:paraId="43A3FF71" w14:textId="1858361A" w:rsidR="000F6815" w:rsidRDefault="00F65FC4" w:rsidP="000F6815">
      <w:pPr>
        <w:pStyle w:val="TableofFigures"/>
        <w:rPr>
          <w:rFonts w:asciiTheme="minorHAnsi" w:eastAsiaTheme="minorEastAsia" w:hAnsiTheme="minorHAnsi" w:cstheme="minorBidi"/>
        </w:rPr>
      </w:pPr>
      <w:hyperlink w:anchor="_Toc103854371" w:history="1">
        <w:r w:rsidR="000F6815" w:rsidRPr="005C447A">
          <w:rPr>
            <w:rStyle w:val="Hyperlink"/>
          </w:rPr>
          <w:t>Figure 28. Sample export file.</w:t>
        </w:r>
        <w:r w:rsidR="000F6815">
          <w:rPr>
            <w:webHidden/>
          </w:rPr>
          <w:tab/>
        </w:r>
        <w:r w:rsidR="000F6815">
          <w:rPr>
            <w:webHidden/>
          </w:rPr>
          <w:fldChar w:fldCharType="begin"/>
        </w:r>
        <w:r w:rsidR="000F6815">
          <w:rPr>
            <w:webHidden/>
          </w:rPr>
          <w:instrText xml:space="preserve"> PAGEREF _Toc103854371 \h </w:instrText>
        </w:r>
        <w:r w:rsidR="000F6815">
          <w:rPr>
            <w:webHidden/>
          </w:rPr>
        </w:r>
        <w:r w:rsidR="000F6815">
          <w:rPr>
            <w:webHidden/>
          </w:rPr>
          <w:fldChar w:fldCharType="separate"/>
        </w:r>
        <w:r>
          <w:rPr>
            <w:webHidden/>
          </w:rPr>
          <w:t>36</w:t>
        </w:r>
        <w:r w:rsidR="000F6815">
          <w:rPr>
            <w:webHidden/>
          </w:rPr>
          <w:fldChar w:fldCharType="end"/>
        </w:r>
      </w:hyperlink>
    </w:p>
    <w:p w14:paraId="058B6BD2" w14:textId="77777777" w:rsidR="000F6815" w:rsidRPr="00980B39" w:rsidRDefault="000F6815" w:rsidP="000F6815">
      <w:pPr>
        <w:pStyle w:val="BodyText"/>
        <w:rPr>
          <w:sz w:val="22"/>
        </w:rPr>
      </w:pPr>
      <w:r>
        <w:fldChar w:fldCharType="end"/>
      </w:r>
    </w:p>
    <w:p w14:paraId="50B3FBA1" w14:textId="77777777" w:rsidR="000F6815" w:rsidRDefault="000F6815" w:rsidP="000F6815">
      <w:pPr>
        <w:rPr>
          <w:rFonts w:ascii="Times New Roman" w:hAnsi="Times New Roman" w:cs="Times New Roman"/>
          <w:sz w:val="24"/>
          <w:szCs w:val="24"/>
        </w:rPr>
        <w:sectPr w:rsidR="000F6815" w:rsidSect="000F6815">
          <w:footerReference w:type="default" r:id="rId12"/>
          <w:pgSz w:w="12240" w:h="15840" w:code="1"/>
          <w:pgMar w:top="1440" w:right="1440" w:bottom="1440" w:left="1440" w:header="720" w:footer="720" w:gutter="0"/>
          <w:pgNumType w:fmt="lowerRoman"/>
          <w:cols w:space="720"/>
          <w:noEndnote/>
          <w:titlePg/>
          <w:docGrid w:linePitch="299"/>
        </w:sectPr>
      </w:pPr>
    </w:p>
    <w:p w14:paraId="23C92D00" w14:textId="77777777" w:rsidR="000F6815" w:rsidRPr="00450759" w:rsidRDefault="000F6815" w:rsidP="00911CBD">
      <w:pPr>
        <w:pStyle w:val="Heading1"/>
        <w:rPr>
          <w:lang w:val="en-US"/>
        </w:rPr>
      </w:pPr>
      <w:bookmarkStart w:id="14" w:name="_Toc289337455"/>
      <w:bookmarkStart w:id="15" w:name="_Toc99449948"/>
      <w:bookmarkStart w:id="16" w:name="_Toc214686143"/>
      <w:bookmarkStart w:id="17" w:name="_Toc278292098"/>
      <w:bookmarkStart w:id="18" w:name="_Toc128041924"/>
      <w:bookmarkEnd w:id="0"/>
      <w:bookmarkEnd w:id="1"/>
      <w:bookmarkEnd w:id="2"/>
      <w:bookmarkEnd w:id="3"/>
      <w:bookmarkEnd w:id="4"/>
      <w:bookmarkEnd w:id="5"/>
      <w:bookmarkEnd w:id="6"/>
      <w:bookmarkEnd w:id="11"/>
      <w:r w:rsidRPr="00911CBD">
        <w:lastRenderedPageBreak/>
        <w:t>1.</w:t>
      </w:r>
      <w:r w:rsidRPr="00911CBD">
        <w:tab/>
      </w:r>
      <w:bookmarkEnd w:id="14"/>
      <w:r w:rsidRPr="00911CBD">
        <w:t>Introduction</w:t>
      </w:r>
      <w:bookmarkEnd w:id="15"/>
      <w:bookmarkEnd w:id="18"/>
    </w:p>
    <w:p w14:paraId="77D026D9" w14:textId="5824B6FB" w:rsidR="000F6815" w:rsidRPr="00286D3B" w:rsidRDefault="000F6815" w:rsidP="000F6815">
      <w:pPr>
        <w:pStyle w:val="BodyText"/>
      </w:pPr>
      <w:r w:rsidRPr="00286D3B">
        <w:t xml:space="preserve">The Biosolids Tool </w:t>
      </w:r>
      <w:r w:rsidR="0018427C">
        <w:t xml:space="preserve">(BST) </w:t>
      </w:r>
      <w:r w:rsidRPr="00286D3B">
        <w:t xml:space="preserve">is </w:t>
      </w:r>
      <w:r w:rsidR="0018427C">
        <w:t>a</w:t>
      </w:r>
      <w:r w:rsidRPr="00286D3B">
        <w:t xml:space="preserve"> multimedia, multipathway, multireceptor deterministic, problem formulation, and screening-level model that can estimate high-end human and ecological hazards based on potential exposures associated with land application of biosolids or placement of biosolids in a surface disposal unit. The results can be used to identify pollutants, pathways, and receptors of greatest interest and to inform decisions about the need to perform more refined modeling or to address data gaps or uncertainties. </w:t>
      </w:r>
    </w:p>
    <w:p w14:paraId="076F4879" w14:textId="77777777" w:rsidR="000F6815" w:rsidRPr="00911CBD" w:rsidRDefault="000F6815" w:rsidP="00911CBD">
      <w:pPr>
        <w:pStyle w:val="Heading2"/>
      </w:pPr>
      <w:bookmarkStart w:id="19" w:name="_Toc99449949"/>
      <w:bookmarkStart w:id="20" w:name="_Toc128041925"/>
      <w:r w:rsidRPr="00911CBD">
        <w:t>1.1</w:t>
      </w:r>
      <w:r w:rsidRPr="00911CBD">
        <w:tab/>
        <w:t>Overview of the Biosolids Tool</w:t>
      </w:r>
      <w:bookmarkEnd w:id="19"/>
      <w:bookmarkEnd w:id="20"/>
    </w:p>
    <w:p w14:paraId="533C0453" w14:textId="77777777" w:rsidR="000F6815" w:rsidRPr="00286D3B" w:rsidRDefault="000F6815" w:rsidP="000F6815">
      <w:pPr>
        <w:pStyle w:val="BodyText"/>
      </w:pPr>
      <w:r w:rsidRPr="00286D3B">
        <w:t xml:space="preserve">The Biosolids Tool leverages the existing modeling framework of the probabilistic multimedia, multipathway, </w:t>
      </w:r>
      <w:r w:rsidRPr="00235449">
        <w:t>multireceptor methodology (3MRA) that has been used by the EPA’s Office of Water (OW) to conduct biosolids risk assessments. This modeling framework is consistent with approaches applied in other EPA offices (such as the Office of Resource Conservation and Recovery. the Office of Pesticide Programs, and the Office of</w:t>
      </w:r>
      <w:r w:rsidRPr="00286D3B">
        <w:t xml:space="preserve"> Research and Development), including the Science Advisory Board–reviewed 3MRA methodology (U.S. EPA, 2003b), the Variable Volume Water Model (VVWM), and the Human Health Risk Assessment Protocol (HHRAP, U.S. EPA, 2005).</w:t>
      </w:r>
    </w:p>
    <w:p w14:paraId="407ED119" w14:textId="77777777" w:rsidR="000F6815" w:rsidRPr="00286D3B" w:rsidRDefault="000F6815" w:rsidP="000F6815">
      <w:pPr>
        <w:pStyle w:val="BodyText"/>
        <w:ind w:right="282"/>
      </w:pPr>
      <w:r w:rsidRPr="00286D3B">
        <w:t>The Biosolids Tool is a simplification of the biosolids modeling framework previously used to refine biosolids risk assessments.  BST is a multipathway deterministic model that uses high-end inputs for exposures for</w:t>
      </w:r>
      <w:r w:rsidRPr="00286D3B">
        <w:rPr>
          <w:spacing w:val="-3"/>
        </w:rPr>
        <w:t xml:space="preserve"> four scenarios (</w:t>
      </w:r>
      <w:r w:rsidRPr="00286D3B">
        <w:t>three</w:t>
      </w:r>
      <w:r w:rsidRPr="00286D3B">
        <w:rPr>
          <w:spacing w:val="-6"/>
        </w:rPr>
        <w:t xml:space="preserve"> land-</w:t>
      </w:r>
      <w:r w:rsidRPr="00286D3B">
        <w:t>application</w:t>
      </w:r>
      <w:r w:rsidRPr="00286D3B">
        <w:rPr>
          <w:spacing w:val="3"/>
        </w:rPr>
        <w:t xml:space="preserve"> </w:t>
      </w:r>
      <w:r w:rsidRPr="00286D3B">
        <w:t>scenarios and one surface-disposal scenario):</w:t>
      </w:r>
    </w:p>
    <w:p w14:paraId="5C2889F7" w14:textId="77777777" w:rsidR="000F6815" w:rsidRPr="00286D3B" w:rsidRDefault="000F6815" w:rsidP="00911CBD">
      <w:pPr>
        <w:pStyle w:val="numlist"/>
      </w:pPr>
      <w:r w:rsidRPr="00286D3B">
        <w:rPr>
          <w:b/>
        </w:rPr>
        <w:t>Crop:</w:t>
      </w:r>
      <w:r w:rsidRPr="00286D3B">
        <w:rPr>
          <w:b/>
          <w:spacing w:val="-8"/>
        </w:rPr>
        <w:t xml:space="preserve"> </w:t>
      </w:r>
      <w:r w:rsidRPr="00911CBD">
        <w:t>biosolids</w:t>
      </w:r>
      <w:r w:rsidRPr="00286D3B">
        <w:rPr>
          <w:spacing w:val="-7"/>
        </w:rPr>
        <w:t xml:space="preserve"> </w:t>
      </w:r>
      <w:r w:rsidRPr="00286D3B">
        <w:t>are</w:t>
      </w:r>
      <w:r w:rsidRPr="00286D3B">
        <w:rPr>
          <w:spacing w:val="-3"/>
        </w:rPr>
        <w:t xml:space="preserve"> land-</w:t>
      </w:r>
      <w:r w:rsidRPr="00286D3B">
        <w:t>applied</w:t>
      </w:r>
      <w:r w:rsidRPr="00286D3B">
        <w:rPr>
          <w:spacing w:val="-3"/>
        </w:rPr>
        <w:t xml:space="preserve"> </w:t>
      </w:r>
      <w:r w:rsidRPr="00286D3B">
        <w:t>at</w:t>
      </w:r>
      <w:r w:rsidRPr="00286D3B">
        <w:rPr>
          <w:spacing w:val="-3"/>
        </w:rPr>
        <w:t xml:space="preserve"> </w:t>
      </w:r>
      <w:r w:rsidRPr="00286D3B">
        <w:t>an</w:t>
      </w:r>
      <w:r w:rsidRPr="00286D3B">
        <w:rPr>
          <w:spacing w:val="-1"/>
        </w:rPr>
        <w:t xml:space="preserve"> </w:t>
      </w:r>
      <w:r w:rsidRPr="00286D3B">
        <w:t>agronomic</w:t>
      </w:r>
      <w:r w:rsidRPr="00286D3B">
        <w:rPr>
          <w:spacing w:val="3"/>
        </w:rPr>
        <w:t xml:space="preserve"> </w:t>
      </w:r>
      <w:r w:rsidRPr="00286D3B">
        <w:t>rate</w:t>
      </w:r>
      <w:r w:rsidRPr="00286D3B">
        <w:rPr>
          <w:spacing w:val="3"/>
        </w:rPr>
        <w:t xml:space="preserve"> </w:t>
      </w:r>
      <w:r w:rsidRPr="00286D3B">
        <w:t>to</w:t>
      </w:r>
      <w:r w:rsidRPr="00286D3B">
        <w:rPr>
          <w:spacing w:val="-1"/>
        </w:rPr>
        <w:t xml:space="preserve"> </w:t>
      </w:r>
      <w:r w:rsidRPr="00286D3B">
        <w:t>a</w:t>
      </w:r>
      <w:r w:rsidRPr="00286D3B">
        <w:rPr>
          <w:spacing w:val="-5"/>
        </w:rPr>
        <w:t xml:space="preserve"> </w:t>
      </w:r>
      <w:r w:rsidRPr="00286D3B">
        <w:t>tilled</w:t>
      </w:r>
      <w:r w:rsidRPr="00286D3B">
        <w:rPr>
          <w:spacing w:val="5"/>
        </w:rPr>
        <w:t xml:space="preserve"> </w:t>
      </w:r>
      <w:r w:rsidRPr="00286D3B">
        <w:t>field</w:t>
      </w:r>
      <w:r w:rsidRPr="00286D3B">
        <w:rPr>
          <w:spacing w:val="-2"/>
        </w:rPr>
        <w:t xml:space="preserve"> </w:t>
      </w:r>
      <w:r w:rsidRPr="00286D3B">
        <w:t>used</w:t>
      </w:r>
      <w:r w:rsidRPr="00286D3B">
        <w:rPr>
          <w:spacing w:val="-3"/>
        </w:rPr>
        <w:t xml:space="preserve"> </w:t>
      </w:r>
      <w:r w:rsidRPr="00286D3B">
        <w:t>to</w:t>
      </w:r>
      <w:r w:rsidRPr="00286D3B">
        <w:rPr>
          <w:spacing w:val="-3"/>
        </w:rPr>
        <w:t xml:space="preserve"> </w:t>
      </w:r>
      <w:r w:rsidRPr="00286D3B">
        <w:t>grow</w:t>
      </w:r>
      <w:r w:rsidRPr="00286D3B">
        <w:rPr>
          <w:spacing w:val="-1"/>
        </w:rPr>
        <w:t xml:space="preserve"> </w:t>
      </w:r>
      <w:r w:rsidRPr="00286D3B">
        <w:t>crops</w:t>
      </w:r>
      <w:r w:rsidRPr="00286D3B">
        <w:rPr>
          <w:spacing w:val="-7"/>
        </w:rPr>
        <w:t xml:space="preserve"> </w:t>
      </w:r>
      <w:r w:rsidRPr="00286D3B">
        <w:t>for</w:t>
      </w:r>
      <w:r w:rsidRPr="00286D3B">
        <w:rPr>
          <w:spacing w:val="-7"/>
        </w:rPr>
        <w:t xml:space="preserve"> </w:t>
      </w:r>
      <w:r w:rsidRPr="00286D3B">
        <w:t>human</w:t>
      </w:r>
      <w:r w:rsidRPr="00286D3B">
        <w:rPr>
          <w:spacing w:val="-52"/>
        </w:rPr>
        <w:t xml:space="preserve"> </w:t>
      </w:r>
      <w:r w:rsidRPr="00286D3B">
        <w:t>consumption.</w:t>
      </w:r>
    </w:p>
    <w:p w14:paraId="1A41B96D" w14:textId="77777777" w:rsidR="000F6815" w:rsidRPr="00286D3B" w:rsidRDefault="000F6815" w:rsidP="00911CBD">
      <w:pPr>
        <w:pStyle w:val="numlist"/>
      </w:pPr>
      <w:r w:rsidRPr="00286D3B">
        <w:rPr>
          <w:b/>
        </w:rPr>
        <w:t xml:space="preserve">Pasture: </w:t>
      </w:r>
      <w:r w:rsidRPr="00286D3B">
        <w:t xml:space="preserve">biosolids are land-applied at an agronomic rate to an untilled field used to pasture beef and dairy cattle raised to produce beef and milk for human consumption. </w:t>
      </w:r>
    </w:p>
    <w:p w14:paraId="66734544" w14:textId="77777777" w:rsidR="000F6815" w:rsidRPr="00286D3B" w:rsidRDefault="000F6815" w:rsidP="00911CBD">
      <w:pPr>
        <w:pStyle w:val="numlist"/>
      </w:pPr>
      <w:r w:rsidRPr="00286D3B">
        <w:rPr>
          <w:b/>
        </w:rPr>
        <w:t xml:space="preserve">Reclamation: </w:t>
      </w:r>
      <w:r w:rsidRPr="00286D3B">
        <w:t>biosolids are land-applied at a higher rate suitable for a mining reclamation site that is subsequently used as a</w:t>
      </w:r>
      <w:r w:rsidRPr="00286D3B">
        <w:rPr>
          <w:spacing w:val="-10"/>
        </w:rPr>
        <w:t xml:space="preserve"> </w:t>
      </w:r>
      <w:r w:rsidRPr="00286D3B">
        <w:t>pasture</w:t>
      </w:r>
      <w:r w:rsidRPr="00286D3B">
        <w:rPr>
          <w:spacing w:val="5"/>
        </w:rPr>
        <w:t xml:space="preserve"> </w:t>
      </w:r>
      <w:r w:rsidRPr="00286D3B">
        <w:t>for</w:t>
      </w:r>
      <w:r w:rsidRPr="00286D3B">
        <w:rPr>
          <w:spacing w:val="-6"/>
        </w:rPr>
        <w:t xml:space="preserve"> </w:t>
      </w:r>
      <w:r w:rsidRPr="00286D3B">
        <w:t>beef</w:t>
      </w:r>
      <w:r w:rsidRPr="00286D3B">
        <w:rPr>
          <w:spacing w:val="-7"/>
        </w:rPr>
        <w:t xml:space="preserve"> </w:t>
      </w:r>
      <w:r w:rsidRPr="00286D3B">
        <w:t>and dairy</w:t>
      </w:r>
      <w:r w:rsidRPr="00286D3B">
        <w:rPr>
          <w:spacing w:val="7"/>
        </w:rPr>
        <w:t xml:space="preserve"> </w:t>
      </w:r>
      <w:r w:rsidRPr="00286D3B">
        <w:t>cattle.</w:t>
      </w:r>
    </w:p>
    <w:p w14:paraId="6F352428" w14:textId="77777777" w:rsidR="000F6815" w:rsidRPr="00286D3B" w:rsidRDefault="000F6815" w:rsidP="00911CBD">
      <w:pPr>
        <w:pStyle w:val="numlist"/>
      </w:pPr>
      <w:r w:rsidRPr="00286D3B">
        <w:rPr>
          <w:b/>
        </w:rPr>
        <w:t>Landfill:</w:t>
      </w:r>
      <w:r w:rsidRPr="00286D3B">
        <w:t xml:space="preserve"> biosolids are surface disposed in a landfill. Three landfill liner options are available: no liner, clay liner, or composite liner.</w:t>
      </w:r>
    </w:p>
    <w:p w14:paraId="64B9064B" w14:textId="0D0F23C6" w:rsidR="000F6815" w:rsidRPr="00286D3B" w:rsidRDefault="000F6815" w:rsidP="000F6815">
      <w:pPr>
        <w:pStyle w:val="BodyText"/>
        <w:spacing w:before="103"/>
        <w:ind w:right="357"/>
      </w:pPr>
      <w:r>
        <w:t>This section presents</w:t>
      </w:r>
      <w:r w:rsidRPr="00286D3B">
        <w:t xml:space="preserve"> the conceptual models</w:t>
      </w:r>
      <w:r>
        <w:t xml:space="preserve"> for the </w:t>
      </w:r>
      <w:r w:rsidR="0018427C">
        <w:t>BST</w:t>
      </w:r>
      <w:r>
        <w:t>,</w:t>
      </w:r>
      <w:r w:rsidRPr="00286D3B">
        <w:t xml:space="preserve"> simplified representations that show how pollutants in biosolids move in the environment, from their release and transport through various environmental compartments, to human and ecological receptors </w:t>
      </w:r>
      <w:proofErr w:type="gramStart"/>
      <w:r w:rsidRPr="00286D3B">
        <w:t>coming in contact with</w:t>
      </w:r>
      <w:proofErr w:type="gramEnd"/>
      <w:r w:rsidRPr="00286D3B">
        <w:t xml:space="preserve"> or consuming environmental media (e.g., groundwater, soil) or dietary items (e.g., milk, produce).</w:t>
      </w:r>
    </w:p>
    <w:p w14:paraId="29335D83" w14:textId="77777777" w:rsidR="000F6815" w:rsidRDefault="000F6815" w:rsidP="000F6815">
      <w:pPr>
        <w:pStyle w:val="BodyText"/>
        <w:spacing w:before="103"/>
        <w:ind w:right="357"/>
      </w:pPr>
      <w:r w:rsidRPr="00A603C9">
        <w:rPr>
          <w:b/>
          <w:bCs/>
        </w:rPr>
        <w:t>Figure 1</w:t>
      </w:r>
      <w:r w:rsidRPr="00286D3B">
        <w:t xml:space="preserve"> depicts the land application conceptual model which includes two waterbodies: a farm pond, from which the farm family catches fish and where ecological receptors live and feed, and an index reservoir, which is a source of drinking water. The surface disposal concept</w:t>
      </w:r>
      <w:r>
        <w:t>u</w:t>
      </w:r>
      <w:r w:rsidRPr="00286D3B">
        <w:t>al model</w:t>
      </w:r>
      <w:r>
        <w:t xml:space="preserve">, </w:t>
      </w:r>
      <w:r w:rsidRPr="00897A30">
        <w:rPr>
          <w:b/>
          <w:bCs/>
        </w:rPr>
        <w:t>Figure 2</w:t>
      </w:r>
      <w:r>
        <w:t>,</w:t>
      </w:r>
      <w:r w:rsidRPr="00286D3B">
        <w:t xml:space="preserve"> does not include these waterbodies.</w:t>
      </w:r>
    </w:p>
    <w:p w14:paraId="32974481" w14:textId="77777777" w:rsidR="000F6815" w:rsidRPr="00767B6E" w:rsidRDefault="000F6815" w:rsidP="000F6815">
      <w:pPr>
        <w:pStyle w:val="BodyText"/>
        <w:spacing w:before="103"/>
        <w:ind w:left="119" w:right="357"/>
      </w:pPr>
      <w:r w:rsidRPr="00286D3B">
        <w:rPr>
          <w:noProof/>
        </w:rPr>
        <w:lastRenderedPageBreak/>
        <w:drawing>
          <wp:inline distT="0" distB="0" distL="0" distR="0" wp14:anchorId="5802DF77" wp14:editId="0143CFF8">
            <wp:extent cx="5968957" cy="2681192"/>
            <wp:effectExtent l="0" t="0" r="0" b="5080"/>
            <wp:docPr id="25" name="image2.png" descr="A detailed flow diagram showing how constituents move from an LAU to environmental media via a release mechanism, and then to exposure scenarios, routes, and human receptors. See Appendix A, Table A-1 for this information in tabular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3" cstate="print"/>
                    <a:stretch>
                      <a:fillRect/>
                    </a:stretch>
                  </pic:blipFill>
                  <pic:spPr>
                    <a:xfrm>
                      <a:off x="0" y="0"/>
                      <a:ext cx="5968957" cy="2681192"/>
                    </a:xfrm>
                    <a:prstGeom prst="rect">
                      <a:avLst/>
                    </a:prstGeom>
                  </pic:spPr>
                </pic:pic>
              </a:graphicData>
            </a:graphic>
          </wp:inline>
        </w:drawing>
      </w:r>
    </w:p>
    <w:p w14:paraId="702BE180" w14:textId="77777777" w:rsidR="000F6815" w:rsidRPr="00B003ED" w:rsidRDefault="000F6815" w:rsidP="000F6815">
      <w:pPr>
        <w:pStyle w:val="Tablenote"/>
        <w:ind w:left="0" w:firstLine="0"/>
        <w:rPr>
          <w:i/>
          <w:iCs/>
        </w:rPr>
      </w:pPr>
      <w:r w:rsidRPr="00B003ED">
        <w:rPr>
          <w:noProof/>
        </w:rPr>
        <mc:AlternateContent>
          <mc:Choice Requires="wps">
            <w:drawing>
              <wp:anchor distT="0" distB="0" distL="114300" distR="114300" simplePos="0" relativeHeight="251658246" behindDoc="1" locked="0" layoutInCell="1" allowOverlap="1" wp14:anchorId="218E1A9D" wp14:editId="639FB161">
                <wp:simplePos x="0" y="0"/>
                <wp:positionH relativeFrom="column">
                  <wp:posOffset>0</wp:posOffset>
                </wp:positionH>
                <wp:positionV relativeFrom="paragraph">
                  <wp:posOffset>50800</wp:posOffset>
                </wp:positionV>
                <wp:extent cx="285750" cy="0"/>
                <wp:effectExtent l="0" t="0" r="0" b="0"/>
                <wp:wrapTight wrapText="bothSides">
                  <wp:wrapPolygon edited="0">
                    <wp:start x="0" y="0"/>
                    <wp:lineTo x="0" y="21600"/>
                    <wp:lineTo x="21600" y="21600"/>
                    <wp:lineTo x="21600" y="0"/>
                  </wp:wrapPolygon>
                </wp:wrapTight>
                <wp:docPr id="162" name="Straight Connector 161">
                  <a:extLst xmlns:a="http://schemas.openxmlformats.org/drawingml/2006/main">
                    <a:ext uri="{FF2B5EF4-FFF2-40B4-BE49-F238E27FC236}">
                      <a16:creationId xmlns:a16="http://schemas.microsoft.com/office/drawing/2014/main" id="{671E2669-8712-4431-8731-9617B2C2B532}"/>
                    </a:ext>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85750" cy="0"/>
                        </a:xfrm>
                        <a:prstGeom prst="line">
                          <a:avLst/>
                        </a:prstGeom>
                        <a:ln w="12700">
                          <a:solidFill>
                            <a:schemeClr val="tx2">
                              <a:lumMod val="60000"/>
                              <a:lumOff val="4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7C69A94" id="Straight Connector 161" o:spid="_x0000_s1026" alt="&quot;&quot;" style="position:absolute;z-index:-2516582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pt" to="22.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" strokecolor="#8496b0 [1951]" strokeweight="1pt">
                <v:stroke dashstyle="dash" joinstyle="miter"/>
                <o:lock v:ext="edit" shapetype="f"/>
                <w10:wrap type="tight"/>
              </v:line>
            </w:pict>
          </mc:Fallback>
        </mc:AlternateContent>
      </w:r>
      <w:r w:rsidRPr="00B003ED">
        <w:rPr>
          <w:i/>
          <w:iCs/>
        </w:rPr>
        <w:tab/>
        <w:t>Dashed arrows and box outlines indicate a pathway or route that has been added since 199</w:t>
      </w:r>
      <w:r>
        <w:rPr>
          <w:i/>
          <w:iCs/>
        </w:rPr>
        <w:t>2</w:t>
      </w:r>
      <w:r w:rsidRPr="00B003ED">
        <w:rPr>
          <w:i/>
          <w:iCs/>
        </w:rPr>
        <w:t>.</w:t>
      </w:r>
    </w:p>
    <w:p w14:paraId="5E76E721" w14:textId="77777777" w:rsidR="000F6815" w:rsidRPr="00B003ED" w:rsidRDefault="000F6815" w:rsidP="000F6815">
      <w:pPr>
        <w:pStyle w:val="Tablenote"/>
        <w:rPr>
          <w:i/>
          <w:iCs/>
        </w:rPr>
      </w:pPr>
      <w:proofErr w:type="spellStart"/>
      <w:proofErr w:type="gramStart"/>
      <w:r w:rsidRPr="00B003ED">
        <w:rPr>
          <w:i/>
          <w:iCs/>
          <w:vertAlign w:val="superscript"/>
        </w:rPr>
        <w:t>a</w:t>
      </w:r>
      <w:proofErr w:type="spellEnd"/>
      <w:proofErr w:type="gramEnd"/>
      <w:r w:rsidRPr="00B003ED">
        <w:rPr>
          <w:i/>
          <w:iCs/>
        </w:rPr>
        <w:tab/>
        <w:t>Originally, Pathways 1 and 2 differed only in that they were modeled for two different scenarios (1, general population and 2, home gardener). In the current model, this pathway is modeled for only one scenario, a farm family (adult farmer and farm child).</w:t>
      </w:r>
    </w:p>
    <w:p w14:paraId="128DD21B" w14:textId="77777777" w:rsidR="000F6815" w:rsidRPr="00B003ED" w:rsidRDefault="000F6815" w:rsidP="000F6815">
      <w:pPr>
        <w:pStyle w:val="Tablenote"/>
        <w:rPr>
          <w:i/>
          <w:iCs/>
        </w:rPr>
      </w:pPr>
      <w:r w:rsidRPr="00B003ED">
        <w:rPr>
          <w:i/>
          <w:iCs/>
          <w:vertAlign w:val="superscript"/>
        </w:rPr>
        <w:t>b</w:t>
      </w:r>
      <w:r w:rsidRPr="00B003ED">
        <w:rPr>
          <w:i/>
          <w:iCs/>
        </w:rPr>
        <w:tab/>
        <w:t>Originally, Pathways 4 (cattle eat contaminated plants) and 5 (cattle eat contaminated soil) were modeled separately. In the current model, these pathways have been combined to reflect that when cattle eat forage, they ingest soil as well. The overall cattle diet is assumed to be 95% forage and 5% soil.</w:t>
      </w:r>
    </w:p>
    <w:p w14:paraId="65C2059C" w14:textId="77777777" w:rsidR="000F6815" w:rsidRDefault="000F6815" w:rsidP="000F6815">
      <w:pPr>
        <w:pStyle w:val="Tablenote"/>
        <w:rPr>
          <w:i/>
          <w:iCs/>
        </w:rPr>
      </w:pPr>
      <w:r w:rsidRPr="00B003ED">
        <w:rPr>
          <w:i/>
          <w:iCs/>
          <w:vertAlign w:val="superscript"/>
        </w:rPr>
        <w:t>c</w:t>
      </w:r>
      <w:r w:rsidRPr="00B003ED">
        <w:rPr>
          <w:i/>
          <w:iCs/>
        </w:rPr>
        <w:tab/>
        <w:t>Originally, Pathway 3 modeled a receptor eating soil/biosolids from the field where biosolids are applied. In the current model, the receptors are assumed to eat soil from the buffer, following erosion and runoff from the field.</w:t>
      </w:r>
    </w:p>
    <w:p w14:paraId="5F5E2D87" w14:textId="77777777" w:rsidR="000F6815" w:rsidRDefault="000F6815" w:rsidP="000F6815">
      <w:pPr>
        <w:pStyle w:val="Figurecaption"/>
      </w:pPr>
      <w:bookmarkStart w:id="21" w:name="_Toc103854344"/>
      <w:r w:rsidRPr="00E13B29">
        <w:t>Figure 1</w:t>
      </w:r>
      <w:r>
        <w:t>.</w:t>
      </w:r>
      <w:r w:rsidRPr="00E13B29">
        <w:t xml:space="preserve"> Conceptual model of human exposure from land application of biosolids</w:t>
      </w:r>
      <w:r>
        <w:t>.</w:t>
      </w:r>
      <w:bookmarkEnd w:id="21"/>
    </w:p>
    <w:p w14:paraId="3B05778C" w14:textId="77777777" w:rsidR="000F6815" w:rsidRPr="00E13B29" w:rsidRDefault="000F6815" w:rsidP="000F6815">
      <w:pPr>
        <w:pStyle w:val="BodyText"/>
        <w:spacing w:before="103"/>
        <w:ind w:right="357"/>
        <w:rPr>
          <w:sz w:val="20"/>
          <w:szCs w:val="20"/>
        </w:rPr>
      </w:pPr>
    </w:p>
    <w:p w14:paraId="5BC81817" w14:textId="77777777" w:rsidR="000F6815" w:rsidRPr="00767B6E" w:rsidRDefault="000F6815" w:rsidP="000F6815">
      <w:pPr>
        <w:pStyle w:val="BodyText"/>
        <w:spacing w:before="103"/>
        <w:ind w:left="119" w:right="357"/>
        <w:rPr>
          <w:i/>
          <w:iCs/>
          <w:sz w:val="16"/>
          <w:szCs w:val="16"/>
        </w:rPr>
      </w:pPr>
      <w:r w:rsidRPr="00286D3B">
        <w:rPr>
          <w:noProof/>
        </w:rPr>
        <w:drawing>
          <wp:inline distT="0" distB="0" distL="0" distR="0" wp14:anchorId="0064D25C" wp14:editId="36E6D5CF">
            <wp:extent cx="5595052" cy="1373505"/>
            <wp:effectExtent l="0" t="0" r="0" b="0"/>
            <wp:docPr id="30" name="image3.png" descr="A detailed flow diagram showing how constituents move from a surface disposal unit to environmental media via a release mechanism, and then to exposure scenarios, routes, and human receptors. See Appendix A, Table A-1 for this information in tabular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595052" cy="1373505"/>
                    </a:xfrm>
                    <a:prstGeom prst="rect">
                      <a:avLst/>
                    </a:prstGeom>
                  </pic:spPr>
                </pic:pic>
              </a:graphicData>
            </a:graphic>
          </wp:inline>
        </w:drawing>
      </w:r>
    </w:p>
    <w:p w14:paraId="26510937" w14:textId="77777777" w:rsidR="000F6815" w:rsidRPr="00286D3B" w:rsidRDefault="000F6815" w:rsidP="000F6815">
      <w:pPr>
        <w:pStyle w:val="Figurecaption"/>
        <w:spacing w:before="240"/>
      </w:pPr>
      <w:bookmarkStart w:id="22" w:name="_Toc103854345"/>
      <w:r w:rsidRPr="00E13B29">
        <w:t>Figure 2</w:t>
      </w:r>
      <w:r>
        <w:t>.</w:t>
      </w:r>
      <w:r w:rsidRPr="00E13B29">
        <w:t xml:space="preserve"> Conceptual model of human exposure from surface disposal of biosolids</w:t>
      </w:r>
      <w:r>
        <w:t>.</w:t>
      </w:r>
      <w:bookmarkEnd w:id="22"/>
    </w:p>
    <w:p w14:paraId="0DDB5B2D" w14:textId="20AF94ED" w:rsidR="000F6815" w:rsidRPr="00286D3B" w:rsidRDefault="000F6815" w:rsidP="00911CBD">
      <w:pPr>
        <w:pStyle w:val="numlist"/>
        <w:numPr>
          <w:ilvl w:val="0"/>
          <w:numId w:val="22"/>
        </w:numPr>
      </w:pPr>
      <w:r w:rsidRPr="00911CBD">
        <w:rPr>
          <w:b/>
          <w:bCs/>
        </w:rPr>
        <w:t>For the crop scenario,</w:t>
      </w:r>
      <w:r w:rsidRPr="00286D3B">
        <w:t xml:space="preserve"> the </w:t>
      </w:r>
      <w:r w:rsidRPr="00235449">
        <w:t xml:space="preserve">human receptors are an adult farmer and farm child. This farm family is assumed to live on a farm and consume farm-raised foods where land-applied biosolids is used annually as a fertilizer or a soil amendment, and thus they are more highly exposed to biosolids than the general population. Eight </w:t>
      </w:r>
      <w:r w:rsidR="00F5165D">
        <w:t>pathway</w:t>
      </w:r>
      <w:r w:rsidRPr="00235449">
        <w:t xml:space="preserve">s of </w:t>
      </w:r>
      <w:r w:rsidR="00F5165D">
        <w:t xml:space="preserve">human </w:t>
      </w:r>
      <w:r w:rsidRPr="00235449">
        <w:t>exposure are considered. The farm family’s diet includes</w:t>
      </w:r>
      <w:r w:rsidRPr="00286D3B">
        <w:t xml:space="preserve"> a significant portion of home-produced foods, including produce, beef</w:t>
      </w:r>
      <w:r w:rsidRPr="00911CBD">
        <w:rPr>
          <w:spacing w:val="-9"/>
        </w:rPr>
        <w:t xml:space="preserve"> </w:t>
      </w:r>
      <w:r w:rsidRPr="00286D3B">
        <w:t>and</w:t>
      </w:r>
      <w:r w:rsidRPr="00911CBD">
        <w:rPr>
          <w:spacing w:val="-3"/>
        </w:rPr>
        <w:t xml:space="preserve"> </w:t>
      </w:r>
      <w:r w:rsidRPr="00286D3B">
        <w:t xml:space="preserve">milk, </w:t>
      </w:r>
      <w:r>
        <w:t xml:space="preserve">and </w:t>
      </w:r>
      <w:r w:rsidRPr="00286D3B">
        <w:t xml:space="preserve">fish from a farm pond. </w:t>
      </w:r>
      <w:bookmarkStart w:id="23" w:name="_Hlk98918741"/>
      <w:r w:rsidRPr="00286D3B">
        <w:t xml:space="preserve">The family’s primary source of drinking water is a shallow well (ground water); a nearby reservoir (surface water) serves as a secondary source. </w:t>
      </w:r>
      <w:bookmarkEnd w:id="23"/>
      <w:r w:rsidRPr="00286D3B">
        <w:t>Non-dietary exposure pathways include inhalation of ambient air and particulates, inhalation of indoor air while</w:t>
      </w:r>
      <w:r w:rsidRPr="00911CBD">
        <w:rPr>
          <w:spacing w:val="1"/>
        </w:rPr>
        <w:t xml:space="preserve"> </w:t>
      </w:r>
      <w:r w:rsidRPr="00286D3B">
        <w:t>showering with groundwater, and incidental ingestion of dust or soil.</w:t>
      </w:r>
    </w:p>
    <w:p w14:paraId="334578CF" w14:textId="0248BEF2" w:rsidR="000F6815" w:rsidRPr="00286D3B" w:rsidRDefault="000F6815" w:rsidP="00911CBD">
      <w:pPr>
        <w:pStyle w:val="numlist"/>
      </w:pPr>
      <w:r w:rsidRPr="00286D3B">
        <w:rPr>
          <w:b/>
          <w:bCs/>
          <w:spacing w:val="5"/>
        </w:rPr>
        <w:lastRenderedPageBreak/>
        <w:t xml:space="preserve">For the </w:t>
      </w:r>
      <w:r w:rsidRPr="00286D3B">
        <w:rPr>
          <w:b/>
          <w:bCs/>
        </w:rPr>
        <w:t>pasture</w:t>
      </w:r>
      <w:r w:rsidRPr="00286D3B">
        <w:rPr>
          <w:b/>
          <w:bCs/>
          <w:spacing w:val="3"/>
        </w:rPr>
        <w:t xml:space="preserve"> </w:t>
      </w:r>
      <w:r w:rsidRPr="00286D3B">
        <w:rPr>
          <w:b/>
          <w:bCs/>
        </w:rPr>
        <w:t>scenarios</w:t>
      </w:r>
      <w:r>
        <w:rPr>
          <w:b/>
          <w:bCs/>
        </w:rPr>
        <w:t>,</w:t>
      </w:r>
      <w:r w:rsidRPr="00286D3B">
        <w:t xml:space="preserve"> the adult and child live near the pasture to which biosolids are applied annually. Eight </w:t>
      </w:r>
      <w:r w:rsidR="00F5165D">
        <w:t xml:space="preserve">human exposure </w:t>
      </w:r>
      <w:r w:rsidRPr="00286D3B">
        <w:t>pathways are considered: diet only considers beef and milk from exposed animals and fish from a farm pond. The family’s primary source of drinking water is a shallow well (ground water); a nearby reservoir (surface water) serves as a secondary source. Additional exposure pathways include inhalation of ambient air and particulates, inhalation of indoor air while</w:t>
      </w:r>
      <w:r w:rsidRPr="00286D3B">
        <w:rPr>
          <w:spacing w:val="1"/>
        </w:rPr>
        <w:t xml:space="preserve"> </w:t>
      </w:r>
      <w:r w:rsidRPr="00286D3B">
        <w:t xml:space="preserve">showering with groundwater, </w:t>
      </w:r>
      <w:r>
        <w:t xml:space="preserve">and </w:t>
      </w:r>
      <w:r w:rsidRPr="00286D3B">
        <w:t xml:space="preserve">incidental ingestion of soil. </w:t>
      </w:r>
    </w:p>
    <w:p w14:paraId="0B385E2A" w14:textId="53E39432" w:rsidR="000F6815" w:rsidRPr="00286D3B" w:rsidRDefault="000F6815" w:rsidP="00911CBD">
      <w:pPr>
        <w:pStyle w:val="numlist"/>
      </w:pPr>
      <w:r w:rsidRPr="00286D3B">
        <w:rPr>
          <w:b/>
          <w:bCs/>
          <w:spacing w:val="5"/>
        </w:rPr>
        <w:t xml:space="preserve">For the </w:t>
      </w:r>
      <w:r w:rsidRPr="00286D3B">
        <w:rPr>
          <w:b/>
          <w:bCs/>
        </w:rPr>
        <w:t>reclamation</w:t>
      </w:r>
      <w:r w:rsidRPr="00286D3B">
        <w:rPr>
          <w:b/>
          <w:bCs/>
          <w:spacing w:val="5"/>
        </w:rPr>
        <w:t xml:space="preserve"> </w:t>
      </w:r>
      <w:r w:rsidRPr="00286D3B">
        <w:rPr>
          <w:b/>
          <w:bCs/>
        </w:rPr>
        <w:t>scenarios</w:t>
      </w:r>
      <w:r w:rsidRPr="00286D3B">
        <w:t xml:space="preserve"> the adult and child live near the reclaimed land to which biosolids are applied in a high-end one-time application. Eight </w:t>
      </w:r>
      <w:r w:rsidR="00F5165D">
        <w:t xml:space="preserve">human exposure </w:t>
      </w:r>
      <w:r w:rsidRPr="00286D3B">
        <w:t>pathways are considered: diet only considers beef and milk from exposed animals and fish from a farm pond. The family’s primary source of drinking water is a shallow well (ground water); a nearby reservoir (surface water) serves as a secondary source.  Additional exposure pathways include inhalation of ambient air and particulates, inhalation of indoor air while</w:t>
      </w:r>
      <w:r w:rsidRPr="00286D3B">
        <w:rPr>
          <w:spacing w:val="1"/>
        </w:rPr>
        <w:t xml:space="preserve"> </w:t>
      </w:r>
      <w:r w:rsidRPr="00286D3B">
        <w:t>showering with groundwater, incidental ingestion of soil.</w:t>
      </w:r>
    </w:p>
    <w:p w14:paraId="0C81373F" w14:textId="77777777" w:rsidR="000F6815" w:rsidRPr="00286D3B" w:rsidRDefault="000F6815" w:rsidP="00911CBD">
      <w:pPr>
        <w:pStyle w:val="numlist"/>
      </w:pPr>
      <w:r w:rsidRPr="469955CA">
        <w:rPr>
          <w:b/>
          <w:bCs/>
        </w:rPr>
        <w:t>For the land</w:t>
      </w:r>
      <w:r>
        <w:rPr>
          <w:b/>
          <w:bCs/>
        </w:rPr>
        <w:t xml:space="preserve"> disposal </w:t>
      </w:r>
      <w:proofErr w:type="gramStart"/>
      <w:r w:rsidRPr="469955CA">
        <w:rPr>
          <w:b/>
          <w:bCs/>
        </w:rPr>
        <w:t>scenario</w:t>
      </w:r>
      <w:proofErr w:type="gramEnd"/>
      <w:r>
        <w:t xml:space="preserve"> the human receptors are an adult and a child who live adjacent to the landfill and to </w:t>
      </w:r>
      <w:bookmarkStart w:id="24" w:name="_Hlk98868318"/>
      <w:r>
        <w:t>obtain their drinking water from a shallow well. Groundwater quality is impacted by the landfill</w:t>
      </w:r>
      <w:bookmarkEnd w:id="24"/>
      <w:r>
        <w:t>. Three human exposure pathways are considered: ingestion of groundwater, inhalation of indoor air while showering with groundwater, and inhalation of ambient air and particulates.</w:t>
      </w:r>
    </w:p>
    <w:p w14:paraId="54311206" w14:textId="77777777" w:rsidR="000F6815" w:rsidRPr="00286D3B" w:rsidRDefault="000F6815" w:rsidP="000F6815">
      <w:pPr>
        <w:pStyle w:val="BodyText"/>
      </w:pPr>
      <w:r w:rsidRPr="00286D3B">
        <w:t xml:space="preserve">The reservoir and farm pond are the standard waterbodies simulated in the VVWM, used to estimate pesticide concentrations in surface water following pesticide application to the field (U.S. EPA, 2019; 2020); see Section A.2.2.2 for more description. The default meteorological </w:t>
      </w:r>
      <w:r w:rsidRPr="00A91654">
        <w:t>input</w:t>
      </w:r>
      <w:r w:rsidRPr="00286D3B">
        <w:t xml:space="preserve"> represents an average climate; however, </w:t>
      </w:r>
      <w:r w:rsidRPr="00B72012">
        <w:t>the BST can be run for three different climatic types: an average climate, a wet climate, and a dry climate (</w:t>
      </w:r>
      <w:r w:rsidRPr="00B72012">
        <w:rPr>
          <w:b/>
          <w:bCs/>
        </w:rPr>
        <w:t>Appendix A)</w:t>
      </w:r>
      <w:r w:rsidRPr="00B72012">
        <w:t>.</w:t>
      </w:r>
      <w:r w:rsidRPr="00286D3B">
        <w:t xml:space="preserve">  </w:t>
      </w:r>
    </w:p>
    <w:p w14:paraId="798D5B79" w14:textId="77777777" w:rsidR="000F6815" w:rsidRPr="00286D3B" w:rsidRDefault="000F6815" w:rsidP="000F6815">
      <w:pPr>
        <w:pStyle w:val="BodyText"/>
      </w:pPr>
      <w:r w:rsidRPr="00A603C9">
        <w:rPr>
          <w:b/>
          <w:bCs/>
        </w:rPr>
        <w:t>Figure 3</w:t>
      </w:r>
      <w:r w:rsidRPr="00286D3B">
        <w:t xml:space="preserve"> shows the conceptual model that describe how contaminants in biosolids can move from the land application or disposal site to terrestrial and aquatic ecological receptors. The ecological receptors considered in the three land application scenarios are:  invertebrate and vertebrate </w:t>
      </w:r>
      <w:r w:rsidRPr="00286D3B">
        <w:rPr>
          <w:spacing w:val="-52"/>
        </w:rPr>
        <w:t xml:space="preserve"> </w:t>
      </w:r>
      <w:r w:rsidRPr="00286D3B">
        <w:t xml:space="preserve">animals and plants exposed in cropland, pasture, reclaimed land and in the farm pond. In the land application scenarios, four terrestrial exposure pathways are considered: </w:t>
      </w:r>
      <w:r w:rsidRPr="00286D3B">
        <w:rPr>
          <w:noProof/>
        </w:rPr>
        <w:t xml:space="preserve">ingestion of contaminated plants (mammals/birds/cattle); ingestion of contaminated insects (mammals/birds); exposure to terrestrial plants; and exposure to soil invertebrates. </w:t>
      </w:r>
      <w:r w:rsidRPr="00286D3B">
        <w:t xml:space="preserve">Five aquatic exposure pathways are considered: aquatic exposure to fish; aquatic exposure to </w:t>
      </w:r>
      <w:r w:rsidRPr="00235449">
        <w:t>amphibians (aq community);</w:t>
      </w:r>
      <w:r w:rsidRPr="00286D3B">
        <w:t xml:space="preserve"> aquatic exposure to aquatic plants; sediment exposure to aquatic invertebrates; </w:t>
      </w:r>
      <w:r w:rsidRPr="00286D3B">
        <w:rPr>
          <w:noProof/>
        </w:rPr>
        <w:t>and ingestion of contaminanted fish (aquatic dependent mammals/birds).</w:t>
      </w:r>
      <w:r w:rsidRPr="00286D3B" w:rsidDel="008B6EA6">
        <w:t xml:space="preserve"> </w:t>
      </w:r>
      <w:r w:rsidRPr="00286D3B">
        <w:t xml:space="preserve">No ecological receptors are modeled in the landfill scenario. </w:t>
      </w:r>
    </w:p>
    <w:p w14:paraId="3EFB355B" w14:textId="77777777" w:rsidR="000F6815" w:rsidRDefault="000F6815" w:rsidP="000F6815">
      <w:pPr>
        <w:pStyle w:val="BodyText"/>
      </w:pPr>
      <w:r w:rsidRPr="00286D3B">
        <w:t xml:space="preserve">For more details on the configuration of </w:t>
      </w:r>
      <w:r w:rsidRPr="00A91654">
        <w:t>these</w:t>
      </w:r>
      <w:r w:rsidRPr="00286D3B">
        <w:t xml:space="preserve"> scenarios please see </w:t>
      </w:r>
      <w:r w:rsidRPr="00A603C9">
        <w:rPr>
          <w:b/>
          <w:bCs/>
        </w:rPr>
        <w:t>Appendix A</w:t>
      </w:r>
      <w:r w:rsidRPr="00286D3B">
        <w:t>.</w:t>
      </w:r>
      <w:bookmarkEnd w:id="16"/>
      <w:bookmarkEnd w:id="17"/>
    </w:p>
    <w:p w14:paraId="463ABC66" w14:textId="77777777" w:rsidR="000F6815" w:rsidRPr="00E13B29" w:rsidRDefault="000F6815" w:rsidP="000F6815">
      <w:pPr>
        <w:rPr>
          <w:rFonts w:ascii="Times New Roman" w:eastAsia="Times New Roman" w:hAnsi="Times New Roman" w:cs="Times New Roman"/>
          <w:sz w:val="24"/>
          <w:szCs w:val="24"/>
          <w:lang w:eastAsia="x-none"/>
        </w:rPr>
      </w:pPr>
      <w:r>
        <w:rPr>
          <w:sz w:val="24"/>
        </w:rPr>
        <w:br w:type="page"/>
      </w:r>
    </w:p>
    <w:p w14:paraId="565A74D0" w14:textId="77777777" w:rsidR="000F6815" w:rsidRPr="00286D3B" w:rsidRDefault="000F6815" w:rsidP="000F6815">
      <w:pPr>
        <w:pStyle w:val="BodyText"/>
        <w:spacing w:before="103"/>
        <w:ind w:left="119" w:right="357"/>
      </w:pPr>
      <w:r w:rsidRPr="00286D3B">
        <w:rPr>
          <w:noProof/>
        </w:rPr>
        <w:lastRenderedPageBreak/>
        <w:drawing>
          <wp:inline distT="0" distB="0" distL="0" distR="0" wp14:anchorId="50A53D7E" wp14:editId="6E34E416">
            <wp:extent cx="6023624" cy="2791968"/>
            <wp:effectExtent l="0" t="0" r="0" b="8890"/>
            <wp:docPr id="32" name="image4.png" descr="A detailed flow diagram showing how constituents move from an LAU to environmental media via a release mechanism, and then to exposure scenarios, routes, and ecological receptors. See Appendix A, Table A-1 for this information in tabular for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5" cstate="print"/>
                    <a:stretch>
                      <a:fillRect/>
                    </a:stretch>
                  </pic:blipFill>
                  <pic:spPr>
                    <a:xfrm>
                      <a:off x="0" y="0"/>
                      <a:ext cx="6023624" cy="2791968"/>
                    </a:xfrm>
                    <a:prstGeom prst="rect">
                      <a:avLst/>
                    </a:prstGeom>
                  </pic:spPr>
                </pic:pic>
              </a:graphicData>
            </a:graphic>
          </wp:inline>
        </w:drawing>
      </w:r>
    </w:p>
    <w:p w14:paraId="67402EA5" w14:textId="77777777" w:rsidR="000F6815" w:rsidRPr="00767B6E" w:rsidRDefault="000F6815" w:rsidP="000F6815">
      <w:pPr>
        <w:pStyle w:val="BodyText"/>
        <w:spacing w:before="103"/>
        <w:ind w:left="119" w:right="357"/>
      </w:pPr>
    </w:p>
    <w:p w14:paraId="244A5D0A" w14:textId="77777777" w:rsidR="000F6815" w:rsidRPr="00B003ED" w:rsidRDefault="000F6815" w:rsidP="000F6815">
      <w:pPr>
        <w:pStyle w:val="Tablenote"/>
        <w:ind w:left="0" w:firstLine="0"/>
        <w:rPr>
          <w:i/>
          <w:iCs/>
        </w:rPr>
      </w:pPr>
      <w:r w:rsidRPr="00B003ED">
        <w:rPr>
          <w:noProof/>
        </w:rPr>
        <mc:AlternateContent>
          <mc:Choice Requires="wps">
            <w:drawing>
              <wp:anchor distT="0" distB="0" distL="114300" distR="114300" simplePos="0" relativeHeight="251658247" behindDoc="1" locked="0" layoutInCell="1" allowOverlap="1" wp14:anchorId="7E1F0D9C" wp14:editId="085A0FFD">
                <wp:simplePos x="0" y="0"/>
                <wp:positionH relativeFrom="column">
                  <wp:posOffset>0</wp:posOffset>
                </wp:positionH>
                <wp:positionV relativeFrom="paragraph">
                  <wp:posOffset>50800</wp:posOffset>
                </wp:positionV>
                <wp:extent cx="285750" cy="0"/>
                <wp:effectExtent l="0" t="0" r="0" b="0"/>
                <wp:wrapTight wrapText="bothSides">
                  <wp:wrapPolygon edited="0">
                    <wp:start x="0" y="0"/>
                    <wp:lineTo x="0" y="21600"/>
                    <wp:lineTo x="21600" y="21600"/>
                    <wp:lineTo x="21600" y="0"/>
                  </wp:wrapPolygon>
                </wp:wrapTight>
                <wp:docPr id="7" name="Straight Connector 16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85750" cy="0"/>
                        </a:xfrm>
                        <a:prstGeom prst="line">
                          <a:avLst/>
                        </a:prstGeom>
                        <a:ln w="12700">
                          <a:solidFill>
                            <a:schemeClr val="tx2">
                              <a:lumMod val="60000"/>
                              <a:lumOff val="4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D89A66D" id="Straight Connector 161" o:spid="_x0000_s1026" alt="&quot;&quot;" style="position:absolute;z-index:-2516582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pt" to="22.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" strokecolor="#8496b0 [1951]" strokeweight="1pt">
                <v:stroke dashstyle="dash" joinstyle="miter"/>
                <o:lock v:ext="edit" shapetype="f"/>
                <w10:wrap type="tight"/>
              </v:line>
            </w:pict>
          </mc:Fallback>
        </mc:AlternateContent>
      </w:r>
      <w:r w:rsidRPr="00B003ED">
        <w:rPr>
          <w:i/>
          <w:iCs/>
        </w:rPr>
        <w:tab/>
        <w:t>Dashed arrows and box outlines indicate a pathway or route that has been added since 199</w:t>
      </w:r>
      <w:r>
        <w:rPr>
          <w:i/>
          <w:iCs/>
        </w:rPr>
        <w:t>2</w:t>
      </w:r>
      <w:r w:rsidRPr="00B003ED">
        <w:rPr>
          <w:i/>
          <w:iCs/>
        </w:rPr>
        <w:t>.</w:t>
      </w:r>
    </w:p>
    <w:p w14:paraId="53E00E17" w14:textId="77777777" w:rsidR="000F6815" w:rsidRPr="00B003ED" w:rsidRDefault="000F6815" w:rsidP="000F6815">
      <w:pPr>
        <w:pStyle w:val="Tablenote"/>
        <w:rPr>
          <w:i/>
          <w:iCs/>
        </w:rPr>
      </w:pPr>
      <w:r w:rsidRPr="00B003ED">
        <w:rPr>
          <w:i/>
          <w:iCs/>
          <w:vertAlign w:val="superscript"/>
        </w:rPr>
        <w:t>a</w:t>
      </w:r>
      <w:r w:rsidRPr="00B003ED">
        <w:rPr>
          <w:i/>
          <w:iCs/>
        </w:rPr>
        <w:tab/>
        <w:t>Pathway 8 is terrestrial plants, and Pathway 9 is soil organisms.</w:t>
      </w:r>
    </w:p>
    <w:p w14:paraId="558970CE" w14:textId="77777777" w:rsidR="000F6815" w:rsidRPr="00767B6E" w:rsidRDefault="000F6815" w:rsidP="000F6815">
      <w:pPr>
        <w:pStyle w:val="Tablenote"/>
        <w:rPr>
          <w:i/>
          <w:iCs/>
        </w:rPr>
      </w:pPr>
      <w:r w:rsidRPr="00B003ED">
        <w:rPr>
          <w:i/>
          <w:iCs/>
          <w:vertAlign w:val="superscript"/>
        </w:rPr>
        <w:t>b</w:t>
      </w:r>
      <w:r w:rsidRPr="00B003ED">
        <w:rPr>
          <w:i/>
          <w:iCs/>
        </w:rPr>
        <w:tab/>
        <w:t xml:space="preserve">Originally, Pathways 4 (cattle eat contaminated plants) and 5 (cattle eat contaminated soil) were modeled separately. </w:t>
      </w:r>
      <w:r w:rsidRPr="00B003ED">
        <w:rPr>
          <w:i/>
          <w:iCs/>
        </w:rPr>
        <w:br/>
        <w:t>In the current model, these pathways have been combined to reflect that when cattle eat forage, they ingest soil as well. The overall cattle diet is assumed to be 95% forage and 5% soil.</w:t>
      </w:r>
    </w:p>
    <w:tbl>
      <w:tblPr>
        <w:tblStyle w:val="TableGrid"/>
        <w:tblpPr w:leftFromText="180" w:rightFromText="180" w:vertAnchor="text" w:horzAnchor="page" w:tblpX="7454" w:tblpY="566"/>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96"/>
      </w:tblGrid>
      <w:tr w:rsidR="000F6815" w14:paraId="292238D0" w14:textId="77777777" w:rsidTr="00AA62CD">
        <w:tc>
          <w:tcPr>
            <w:tcW w:w="3896" w:type="dxa"/>
          </w:tcPr>
          <w:p w14:paraId="14B9709F" w14:textId="77777777" w:rsidR="000F6815" w:rsidRDefault="000F6815" w:rsidP="00AA62CD">
            <w:pPr>
              <w:pStyle w:val="BodyText"/>
              <w:jc w:val="center"/>
            </w:pPr>
            <w:r w:rsidRPr="00C1576E">
              <w:rPr>
                <w:noProof/>
              </w:rPr>
              <w:drawing>
                <wp:inline distT="0" distB="0" distL="0" distR="0" wp14:anchorId="02240932" wp14:editId="2FA90B60">
                  <wp:extent cx="1707513" cy="2971800"/>
                  <wp:effectExtent l="0" t="0" r="0" b="0"/>
                  <wp:docPr id="21" name="Picture 21" descr="Flow diagram showing that source, environmental setting, and chemical properties feed into the source modeling as well as fate and transport modeling, and that exposure parameters and toxicity values feed into the exposure and risk mode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Flow diagram showing that source, environmental setting, and chemical properties feed into the source modeling as well as fate and transport modeling, and that exposure parameters and toxicity values feed into the exposure and risk modeli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28464" cy="3008263"/>
                          </a:xfrm>
                          <a:prstGeom prst="rect">
                            <a:avLst/>
                          </a:prstGeom>
                          <a:noFill/>
                          <a:ln>
                            <a:noFill/>
                          </a:ln>
                        </pic:spPr>
                      </pic:pic>
                    </a:graphicData>
                  </a:graphic>
                </wp:inline>
              </w:drawing>
            </w:r>
          </w:p>
        </w:tc>
      </w:tr>
      <w:tr w:rsidR="000F6815" w:rsidRPr="00DF4FA6" w14:paraId="57C3A479" w14:textId="77777777" w:rsidTr="00AA62CD">
        <w:tc>
          <w:tcPr>
            <w:tcW w:w="3896" w:type="dxa"/>
          </w:tcPr>
          <w:p w14:paraId="20EA4E1E" w14:textId="77777777" w:rsidR="000F6815" w:rsidRPr="00E13B29" w:rsidRDefault="000F6815" w:rsidP="00AA62CD">
            <w:pPr>
              <w:pStyle w:val="Figurecaption"/>
              <w:spacing w:before="0" w:after="0"/>
            </w:pPr>
            <w:bookmarkStart w:id="25" w:name="_Toc92366059"/>
            <w:bookmarkStart w:id="26" w:name="_Toc103854346"/>
            <w:r w:rsidRPr="00E13B29" w:rsidDel="00001667">
              <w:t xml:space="preserve">Figure </w:t>
            </w:r>
            <w:r w:rsidRPr="00E13B29">
              <w:t>4</w:t>
            </w:r>
            <w:r w:rsidRPr="00E13B29" w:rsidDel="00001667">
              <w:t xml:space="preserve">. </w:t>
            </w:r>
            <w:r w:rsidRPr="007A295F" w:rsidDel="00001667">
              <w:t>Overview</w:t>
            </w:r>
            <w:r w:rsidRPr="00E13B29" w:rsidDel="00001667">
              <w:t xml:space="preserve"> of </w:t>
            </w:r>
            <w:r>
              <w:t>Biosolids Tool</w:t>
            </w:r>
            <w:r w:rsidRPr="00E13B29" w:rsidDel="00001667">
              <w:t xml:space="preserve"> modeling environment.</w:t>
            </w:r>
            <w:bookmarkEnd w:id="25"/>
            <w:bookmarkEnd w:id="26"/>
          </w:p>
        </w:tc>
      </w:tr>
    </w:tbl>
    <w:p w14:paraId="07898C0E" w14:textId="77777777" w:rsidR="000F6815" w:rsidRPr="00E13B29" w:rsidRDefault="000F6815" w:rsidP="000F6815">
      <w:pPr>
        <w:pStyle w:val="Figurecaption"/>
      </w:pPr>
      <w:bookmarkStart w:id="27" w:name="_Toc103854347"/>
      <w:r w:rsidRPr="00E13B29">
        <w:t>Figure 3</w:t>
      </w:r>
      <w:r>
        <w:t>.</w:t>
      </w:r>
      <w:r w:rsidRPr="00E13B29">
        <w:t xml:space="preserve"> Conceptual model of exposure to aquatic and terrestrial wildlife from land</w:t>
      </w:r>
      <w:r>
        <w:t xml:space="preserve"> </w:t>
      </w:r>
      <w:r w:rsidRPr="00E13B29">
        <w:t>applied biosolids</w:t>
      </w:r>
      <w:r>
        <w:t>.</w:t>
      </w:r>
      <w:bookmarkEnd w:id="27"/>
    </w:p>
    <w:p w14:paraId="42CE9D3F" w14:textId="77777777" w:rsidR="000F6815" w:rsidRPr="00A91654" w:rsidRDefault="000F6815" w:rsidP="000F6815">
      <w:pPr>
        <w:pStyle w:val="BodyText"/>
      </w:pPr>
      <w:r w:rsidRPr="00A91654">
        <w:t xml:space="preserve">Within the Biosolids Tool, source, fate and transport, and exposure and risk models are linked, and input and output data transfers are automated. </w:t>
      </w:r>
      <w:r w:rsidRPr="00B1654F">
        <w:rPr>
          <w:b/>
          <w:bCs/>
        </w:rPr>
        <w:t>Figure 4</w:t>
      </w:r>
      <w:r w:rsidRPr="00A91654">
        <w:t xml:space="preserve"> presents an overview of how these components are integrated. </w:t>
      </w:r>
    </w:p>
    <w:p w14:paraId="0B736184" w14:textId="77777777" w:rsidR="000F6815" w:rsidRPr="00A91654" w:rsidRDefault="000F6815" w:rsidP="000F6815">
      <w:pPr>
        <w:pStyle w:val="BodyText"/>
      </w:pPr>
      <w:r w:rsidRPr="00A91654">
        <w:t>The Biosolids Tool runs the biosolids modeling framework in deterministic mode to characterize high-end exposures. This is achieved by setting key parameters to high-end values in the associated database:</w:t>
      </w:r>
    </w:p>
    <w:p w14:paraId="6470C072" w14:textId="2DCC0D06" w:rsidR="000F6815" w:rsidRPr="00286D3B" w:rsidRDefault="000F6815" w:rsidP="00253FB5">
      <w:pPr>
        <w:pStyle w:val="numlist"/>
        <w:widowControl w:val="0"/>
        <w:numPr>
          <w:ilvl w:val="0"/>
          <w:numId w:val="23"/>
        </w:numPr>
      </w:pPr>
      <w:r w:rsidRPr="00911CBD">
        <w:rPr>
          <w:b/>
          <w:bCs/>
        </w:rPr>
        <w:t>Chemical concentration</w:t>
      </w:r>
      <w:r w:rsidRPr="00286D3B">
        <w:t xml:space="preserve"> in biosolids is set to the 95th percentile concentration for each chemical monitored in the TNSSS (U.S. EPA, 2009a, b; 2021) plus a few emerging constituents of interest in biosolids. The data development process for chemical-specific data is described in </w:t>
      </w:r>
      <w:r w:rsidRPr="00911CBD">
        <w:rPr>
          <w:b/>
          <w:bCs/>
        </w:rPr>
        <w:t>Appendix C</w:t>
      </w:r>
      <w:r w:rsidRPr="00286D3B">
        <w:t xml:space="preserve"> (all properties other than toxicity data).</w:t>
      </w:r>
      <w:r w:rsidR="00DC6D96">
        <w:rPr>
          <w:rStyle w:val="FootnoteReference"/>
        </w:rPr>
        <w:footnoteReference w:id="2"/>
      </w:r>
    </w:p>
    <w:p w14:paraId="5493B7CB" w14:textId="77777777" w:rsidR="000F6815" w:rsidRPr="00E13B29" w:rsidRDefault="000F6815" w:rsidP="00911CBD">
      <w:pPr>
        <w:pStyle w:val="numlist"/>
        <w:numPr>
          <w:ilvl w:val="0"/>
          <w:numId w:val="23"/>
        </w:numPr>
      </w:pPr>
      <w:r w:rsidRPr="00911CBD">
        <w:rPr>
          <w:b/>
          <w:bCs/>
        </w:rPr>
        <w:t>Biosolids Application Rate:</w:t>
      </w:r>
      <w:r w:rsidRPr="00E13B29">
        <w:t xml:space="preserve"> For the crop and pasture </w:t>
      </w:r>
      <w:r w:rsidRPr="00C12858">
        <w:t xml:space="preserve">scenarios, the default dry application rate is 10 MT dry weight/ha-application applied once a year </w:t>
      </w:r>
      <w:r w:rsidRPr="00C12858">
        <w:lastRenderedPageBreak/>
        <w:t>for 40 years (</w:t>
      </w:r>
      <w:r w:rsidRPr="00911CBD">
        <w:rPr>
          <w:b/>
          <w:bCs/>
        </w:rPr>
        <w:t>see Appendix E).</w:t>
      </w:r>
      <w:r w:rsidRPr="00C12858">
        <w:t xml:space="preserve"> For the reclamation scenario, the default dry application rate is 40 MT dry weight/ha applied one time (see </w:t>
      </w:r>
      <w:r w:rsidRPr="00911CBD">
        <w:rPr>
          <w:b/>
          <w:bCs/>
        </w:rPr>
        <w:t>Appendix E</w:t>
      </w:r>
      <w:r w:rsidRPr="00C12858">
        <w:t>)</w:t>
      </w:r>
    </w:p>
    <w:p w14:paraId="310A60CA" w14:textId="762FEE49" w:rsidR="00253FB5" w:rsidRDefault="000F6815" w:rsidP="000F6815">
      <w:pPr>
        <w:pStyle w:val="numlistlast"/>
      </w:pPr>
      <w:r w:rsidRPr="00A91654">
        <w:rPr>
          <w:b/>
        </w:rPr>
        <w:t>Consumption</w:t>
      </w:r>
      <w:r w:rsidRPr="00A91654">
        <w:rPr>
          <w:b/>
          <w:spacing w:val="-8"/>
        </w:rPr>
        <w:t xml:space="preserve"> </w:t>
      </w:r>
      <w:r w:rsidRPr="00A91654">
        <w:rPr>
          <w:b/>
        </w:rPr>
        <w:t>Rates</w:t>
      </w:r>
      <w:r w:rsidRPr="00A91654">
        <w:rPr>
          <w:b/>
          <w:spacing w:val="-6"/>
        </w:rPr>
        <w:t xml:space="preserve"> </w:t>
      </w:r>
      <w:r w:rsidRPr="00E13B29">
        <w:t>are</w:t>
      </w:r>
      <w:r w:rsidRPr="00A91654">
        <w:rPr>
          <w:spacing w:val="4"/>
        </w:rPr>
        <w:t xml:space="preserve"> </w:t>
      </w:r>
      <w:r w:rsidRPr="00E13B29">
        <w:t>set</w:t>
      </w:r>
      <w:r w:rsidRPr="00A91654">
        <w:rPr>
          <w:spacing w:val="-3"/>
        </w:rPr>
        <w:t xml:space="preserve"> </w:t>
      </w:r>
      <w:r w:rsidRPr="00E13B29">
        <w:t>to</w:t>
      </w:r>
      <w:r w:rsidRPr="00A91654">
        <w:rPr>
          <w:spacing w:val="-1"/>
        </w:rPr>
        <w:t xml:space="preserve"> </w:t>
      </w:r>
      <w:r w:rsidRPr="00E13B29">
        <w:t>the</w:t>
      </w:r>
      <w:r w:rsidRPr="00A91654">
        <w:rPr>
          <w:spacing w:val="-4"/>
        </w:rPr>
        <w:t xml:space="preserve"> </w:t>
      </w:r>
      <w:r w:rsidRPr="00E13B29">
        <w:t>90th</w:t>
      </w:r>
      <w:r w:rsidRPr="00A91654">
        <w:rPr>
          <w:spacing w:val="-1"/>
        </w:rPr>
        <w:t xml:space="preserve"> </w:t>
      </w:r>
      <w:r w:rsidRPr="00E13B29">
        <w:t xml:space="preserve">percentile based on the most current EPA guidance on exposure: the 2011 </w:t>
      </w:r>
      <w:r w:rsidRPr="00A91654">
        <w:rPr>
          <w:i/>
        </w:rPr>
        <w:t xml:space="preserve">Exposure Factors Handbook </w:t>
      </w:r>
      <w:r w:rsidRPr="00E13B29">
        <w:t xml:space="preserve">(U.S. EPA, 2011) (which also incorporates information from the 2008 </w:t>
      </w:r>
      <w:r w:rsidRPr="00A91654">
        <w:rPr>
          <w:i/>
        </w:rPr>
        <w:t>Child-Specific Exposure</w:t>
      </w:r>
      <w:r w:rsidRPr="00A91654">
        <w:rPr>
          <w:i/>
          <w:spacing w:val="-52"/>
        </w:rPr>
        <w:t xml:space="preserve"> </w:t>
      </w:r>
      <w:r w:rsidRPr="00A91654">
        <w:rPr>
          <w:i/>
        </w:rPr>
        <w:t>Factors</w:t>
      </w:r>
      <w:r w:rsidRPr="00A91654">
        <w:rPr>
          <w:i/>
          <w:spacing w:val="1"/>
        </w:rPr>
        <w:t xml:space="preserve"> </w:t>
      </w:r>
      <w:r w:rsidRPr="00A91654">
        <w:rPr>
          <w:i/>
        </w:rPr>
        <w:t>Handbook</w:t>
      </w:r>
      <w:r w:rsidRPr="00E13B29">
        <w:t>)</w:t>
      </w:r>
      <w:r>
        <w:t xml:space="preserve"> and individual chapter updates issued in 2017 through 2019; see </w:t>
      </w:r>
      <w:r w:rsidRPr="00A91654">
        <w:rPr>
          <w:b/>
          <w:bCs/>
        </w:rPr>
        <w:t>Appendix B</w:t>
      </w:r>
      <w:r>
        <w:t xml:space="preserve"> for more details</w:t>
      </w:r>
      <w:r w:rsidRPr="00E13B29">
        <w:t>. EPA uses the 90th percentile exposure as a reasonable high</w:t>
      </w:r>
      <w:r>
        <w:t>-</w:t>
      </w:r>
      <w:r w:rsidRPr="00E13B29">
        <w:t xml:space="preserve">end estimate in assessments under the </w:t>
      </w:r>
      <w:r w:rsidRPr="008820EE">
        <w:t>CWA (</w:t>
      </w:r>
      <w:hyperlink r:id="rId17" w:anchor="methodology" w:history="1">
        <w:r w:rsidRPr="008820EE">
          <w:rPr>
            <w:rStyle w:val="Hyperlink"/>
          </w:rPr>
          <w:t>https://www.epa.gov/wqc/human-health-water-quality-criteria-and-methods-toxics#methodology</w:t>
        </w:r>
      </w:hyperlink>
      <w:r w:rsidRPr="008820EE">
        <w:t>)</w:t>
      </w:r>
    </w:p>
    <w:p w14:paraId="548926FC" w14:textId="420F7143" w:rsidR="000F6815" w:rsidRDefault="000F6815" w:rsidP="000F6815">
      <w:pPr>
        <w:pStyle w:val="BodyText"/>
      </w:pPr>
      <w:r w:rsidRPr="00B72012">
        <w:t xml:space="preserve">The BST also requires a variety of environmental setting parameters, which were set to central tendency values (e.g., median, where available) rather than high-end values to reduce the likelihood of results being overly conservative. Environmental setting parameters are represented by median values selected from either regional data associated with one of three climatic stations or from national distributions. </w:t>
      </w:r>
      <w:r w:rsidRPr="00B72012">
        <w:rPr>
          <w:b/>
          <w:bCs/>
        </w:rPr>
        <w:t>Appendix B</w:t>
      </w:r>
      <w:r w:rsidRPr="00B72012">
        <w:t xml:space="preserve"> provides additional information about non-chemical- specific parameters.</w:t>
      </w:r>
    </w:p>
    <w:p w14:paraId="6578F7C5" w14:textId="0B5F465F" w:rsidR="00253FB5" w:rsidRPr="00253FB5" w:rsidRDefault="00253FB5" w:rsidP="000F6815">
      <w:pPr>
        <w:pStyle w:val="BodyText"/>
        <w:rPr>
          <w:szCs w:val="20"/>
        </w:rPr>
      </w:pPr>
      <w:r>
        <w:t>Finally, data development for</w:t>
      </w:r>
      <w:r w:rsidRPr="00253FB5">
        <w:t xml:space="preserve"> toxicity data </w:t>
      </w:r>
      <w:r>
        <w:t xml:space="preserve">for both human and ecological exposures is </w:t>
      </w:r>
      <w:r w:rsidRPr="00253FB5">
        <w:t>describe</w:t>
      </w:r>
      <w:r>
        <w:t>d</w:t>
      </w:r>
      <w:r w:rsidRPr="00253FB5">
        <w:t xml:space="preserve"> in </w:t>
      </w:r>
      <w:r w:rsidRPr="00253FB5">
        <w:rPr>
          <w:b/>
          <w:bCs/>
        </w:rPr>
        <w:t>Appendix D</w:t>
      </w:r>
      <w:r w:rsidRPr="00253FB5">
        <w:t>.</w:t>
      </w:r>
    </w:p>
    <w:p w14:paraId="2CA971D5" w14:textId="77777777" w:rsidR="000F6815" w:rsidRPr="00250F11" w:rsidRDefault="000F6815" w:rsidP="00911CBD">
      <w:pPr>
        <w:pStyle w:val="Heading2"/>
      </w:pPr>
      <w:bookmarkStart w:id="28" w:name="_bookmark6"/>
      <w:bookmarkStart w:id="29" w:name="_Toc99449950"/>
      <w:bookmarkStart w:id="30" w:name="_Toc128041926"/>
      <w:bookmarkEnd w:id="28"/>
      <w:r w:rsidRPr="00250F11">
        <w:t>1.2</w:t>
      </w:r>
      <w:r w:rsidRPr="00250F11">
        <w:tab/>
        <w:t>Organization of this User’s Guide</w:t>
      </w:r>
      <w:bookmarkEnd w:id="29"/>
      <w:bookmarkEnd w:id="30"/>
    </w:p>
    <w:p w14:paraId="7B80BB83" w14:textId="77777777" w:rsidR="000F6815" w:rsidRPr="00286D3B" w:rsidRDefault="000F6815" w:rsidP="000F6815">
      <w:pPr>
        <w:pStyle w:val="BodyText"/>
      </w:pPr>
      <w:r w:rsidRPr="00286D3B">
        <w:t>This User’s Guide is organized as follows:</w:t>
      </w:r>
    </w:p>
    <w:p w14:paraId="14A68734" w14:textId="77777777" w:rsidR="000F6815" w:rsidRPr="00286D3B" w:rsidRDefault="000F6815" w:rsidP="00347221">
      <w:pPr>
        <w:pStyle w:val="ListBullet"/>
      </w:pPr>
      <w:r w:rsidRPr="00286D3B">
        <w:rPr>
          <w:b/>
          <w:bCs/>
        </w:rPr>
        <w:t>Section 2:</w:t>
      </w:r>
      <w:r w:rsidRPr="00286D3B">
        <w:t xml:space="preserve"> Install and </w:t>
      </w:r>
      <w:r w:rsidRPr="00911CBD">
        <w:t>Launch</w:t>
      </w:r>
      <w:r w:rsidRPr="00286D3B">
        <w:t xml:space="preserve"> the </w:t>
      </w:r>
      <w:r>
        <w:t>Biosolids Tool</w:t>
      </w:r>
    </w:p>
    <w:p w14:paraId="539D9E0C" w14:textId="77777777" w:rsidR="000F6815" w:rsidRPr="00286D3B" w:rsidRDefault="000F6815" w:rsidP="00347221">
      <w:pPr>
        <w:pStyle w:val="ListBullet"/>
      </w:pPr>
      <w:r w:rsidRPr="00286D3B">
        <w:rPr>
          <w:b/>
          <w:bCs/>
        </w:rPr>
        <w:t>Section 3:</w:t>
      </w:r>
      <w:r w:rsidRPr="00286D3B">
        <w:t xml:space="preserve"> Configure an Analysis. In addition to describing how to select chemicals, pathways, and receptors to run, this section also describes how to add chemicals and how to modify chemical and selected fate inputs.</w:t>
      </w:r>
    </w:p>
    <w:p w14:paraId="60C50920" w14:textId="77777777" w:rsidR="000F6815" w:rsidRPr="00286D3B" w:rsidRDefault="000F6815" w:rsidP="00347221">
      <w:pPr>
        <w:pStyle w:val="ListBullet"/>
      </w:pPr>
      <w:r w:rsidRPr="00286D3B">
        <w:rPr>
          <w:b/>
          <w:bCs/>
        </w:rPr>
        <w:t>Section 4:</w:t>
      </w:r>
      <w:r w:rsidRPr="00286D3B">
        <w:t xml:space="preserve"> Run a Simulation</w:t>
      </w:r>
    </w:p>
    <w:p w14:paraId="01FBF781" w14:textId="77777777" w:rsidR="000F6815" w:rsidRPr="00286D3B" w:rsidRDefault="000F6815" w:rsidP="00347221">
      <w:pPr>
        <w:pStyle w:val="ListBullet"/>
      </w:pPr>
      <w:r w:rsidRPr="00286D3B">
        <w:rPr>
          <w:b/>
          <w:bCs/>
        </w:rPr>
        <w:t>Section 5:</w:t>
      </w:r>
      <w:r w:rsidRPr="00286D3B">
        <w:t xml:space="preserve"> View, Export, and Save Results</w:t>
      </w:r>
    </w:p>
    <w:p w14:paraId="577108F4" w14:textId="6A1D6D35" w:rsidR="00253FB5" w:rsidRDefault="000F6815" w:rsidP="00253FB5">
      <w:pPr>
        <w:pStyle w:val="ListBullet"/>
      </w:pPr>
      <w:r w:rsidRPr="00286D3B">
        <w:rPr>
          <w:b/>
          <w:bCs/>
        </w:rPr>
        <w:t>Section 6:</w:t>
      </w:r>
      <w:r w:rsidRPr="00286D3B">
        <w:t xml:space="preserve"> </w:t>
      </w:r>
      <w:r w:rsidR="00253FB5">
        <w:t>Limitations</w:t>
      </w:r>
    </w:p>
    <w:p w14:paraId="3A52D266" w14:textId="0A86045A" w:rsidR="000F6815" w:rsidRPr="00286D3B" w:rsidRDefault="00253FB5" w:rsidP="00347221">
      <w:pPr>
        <w:pStyle w:val="ListBulletlast"/>
      </w:pPr>
      <w:r w:rsidRPr="00253FB5">
        <w:rPr>
          <w:b/>
          <w:bCs/>
        </w:rPr>
        <w:t>Section 7:</w:t>
      </w:r>
      <w:r>
        <w:t xml:space="preserve"> </w:t>
      </w:r>
      <w:r w:rsidR="000F6815" w:rsidRPr="00286D3B">
        <w:t>References.</w:t>
      </w:r>
    </w:p>
    <w:p w14:paraId="165E784A" w14:textId="77777777" w:rsidR="000F6815" w:rsidRPr="00286D3B" w:rsidRDefault="000F6815" w:rsidP="000F6815">
      <w:pPr>
        <w:pStyle w:val="BodyText"/>
      </w:pPr>
      <w:r w:rsidRPr="00286D3B">
        <w:t>Throughout this User’s Guide are blue text boxes that draw your attention to a particularly important piece of information. Please be sure to read those.</w:t>
      </w:r>
    </w:p>
    <w:p w14:paraId="41396235" w14:textId="77777777" w:rsidR="000F6815" w:rsidRPr="00286D3B" w:rsidRDefault="000F6815" w:rsidP="000F6815">
      <w:pPr>
        <w:pStyle w:val="BodyText"/>
      </w:pPr>
      <w:r w:rsidRPr="00286D3B">
        <w:t>In addition, the User’s Guide includes the following appendices:</w:t>
      </w:r>
    </w:p>
    <w:p w14:paraId="5179755A" w14:textId="77777777" w:rsidR="000F6815" w:rsidRPr="00286D3B" w:rsidRDefault="000F6815" w:rsidP="00347221">
      <w:pPr>
        <w:pStyle w:val="ListBullet"/>
      </w:pPr>
      <w:r w:rsidRPr="00286D3B">
        <w:rPr>
          <w:b/>
          <w:bCs/>
        </w:rPr>
        <w:t xml:space="preserve">Appendix A </w:t>
      </w:r>
      <w:r w:rsidRPr="00286D3B">
        <w:t>describes the technical formulation of the Tool in more detail</w:t>
      </w:r>
    </w:p>
    <w:p w14:paraId="3B97DF54" w14:textId="77777777" w:rsidR="000F6815" w:rsidRPr="00286D3B" w:rsidRDefault="000F6815" w:rsidP="00347221">
      <w:pPr>
        <w:pStyle w:val="ListBullet"/>
      </w:pPr>
      <w:r w:rsidRPr="00286D3B">
        <w:rPr>
          <w:b/>
          <w:bCs/>
        </w:rPr>
        <w:t>Appendix B</w:t>
      </w:r>
      <w:r w:rsidRPr="00286D3B">
        <w:t xml:space="preserve"> documents the non-chemical-specific inputs</w:t>
      </w:r>
    </w:p>
    <w:p w14:paraId="4C5F66FE" w14:textId="77777777" w:rsidR="000F6815" w:rsidRPr="00286D3B" w:rsidRDefault="000F6815" w:rsidP="00347221">
      <w:pPr>
        <w:pStyle w:val="ListBullet"/>
      </w:pPr>
      <w:r w:rsidRPr="00286D3B">
        <w:rPr>
          <w:b/>
          <w:bCs/>
        </w:rPr>
        <w:t>Appendix C</w:t>
      </w:r>
      <w:r w:rsidRPr="00286D3B">
        <w:t xml:space="preserve"> documents the development of chemical-specific inputs (except human health and ecological toxicity values)</w:t>
      </w:r>
    </w:p>
    <w:p w14:paraId="02FEF113" w14:textId="77777777" w:rsidR="000F6815" w:rsidRDefault="000F6815" w:rsidP="00347221">
      <w:pPr>
        <w:pStyle w:val="ListBullet"/>
      </w:pPr>
      <w:r w:rsidRPr="00286D3B">
        <w:rPr>
          <w:b/>
          <w:bCs/>
        </w:rPr>
        <w:t>Appendix D</w:t>
      </w:r>
      <w:r w:rsidRPr="00286D3B">
        <w:t xml:space="preserve"> documents the development of human health and ecological toxicity values</w:t>
      </w:r>
    </w:p>
    <w:p w14:paraId="09730E5E" w14:textId="77777777" w:rsidR="000F6815" w:rsidRPr="00286D3B" w:rsidRDefault="000F6815" w:rsidP="00347221">
      <w:pPr>
        <w:pStyle w:val="ListBullet"/>
      </w:pPr>
      <w:r>
        <w:rPr>
          <w:b/>
          <w:bCs/>
        </w:rPr>
        <w:t xml:space="preserve">Appendix E </w:t>
      </w:r>
      <w:r w:rsidRPr="00235449">
        <w:t>documents various validation and sensitivity analyses.</w:t>
      </w:r>
      <w:r>
        <w:rPr>
          <w:b/>
          <w:bCs/>
        </w:rPr>
        <w:t xml:space="preserve"> </w:t>
      </w:r>
    </w:p>
    <w:p w14:paraId="3CE0601A" w14:textId="77777777" w:rsidR="000F6815" w:rsidRDefault="000F6815" w:rsidP="000F6815">
      <w:pPr>
        <w:rPr>
          <w:rFonts w:ascii="Arial" w:eastAsia="Times New Roman" w:hAnsi="Arial" w:cs="Times New Roman"/>
          <w:b/>
          <w:bCs/>
          <w:color w:val="44546A" w:themeColor="text2"/>
          <w:sz w:val="32"/>
          <w:szCs w:val="32"/>
          <w:lang w:val="en-CA"/>
        </w:rPr>
      </w:pPr>
      <w:bookmarkStart w:id="31" w:name="_Toc99449951"/>
      <w:bookmarkStart w:id="32" w:name="_Hlk57025322"/>
      <w:r>
        <w:br w:type="page"/>
      </w:r>
    </w:p>
    <w:p w14:paraId="06D39104" w14:textId="77777777" w:rsidR="000F6815" w:rsidRPr="00450759" w:rsidRDefault="000F6815" w:rsidP="00911CBD">
      <w:pPr>
        <w:pStyle w:val="Heading1"/>
      </w:pPr>
      <w:bookmarkStart w:id="33" w:name="_Toc128041927"/>
      <w:r w:rsidRPr="00450759">
        <w:lastRenderedPageBreak/>
        <w:t>2.</w:t>
      </w:r>
      <w:r w:rsidRPr="00450759">
        <w:tab/>
        <w:t xml:space="preserve">Install and Launch the </w:t>
      </w:r>
      <w:r>
        <w:t>Biosolids Tool</w:t>
      </w:r>
      <w:bookmarkEnd w:id="31"/>
      <w:bookmarkEnd w:id="33"/>
    </w:p>
    <w:p w14:paraId="7D6EEDDD" w14:textId="77777777" w:rsidR="000F6815" w:rsidRPr="00286D3B" w:rsidRDefault="000F6815" w:rsidP="000F6815">
      <w:pPr>
        <w:pStyle w:val="BodyText"/>
      </w:pPr>
      <w:r w:rsidRPr="00286D3B">
        <w:rPr>
          <w:noProof/>
          <w:lang w:eastAsia="en-US"/>
        </w:rPr>
        <mc:AlternateContent>
          <mc:Choice Requires="wps">
            <w:drawing>
              <wp:inline distT="0" distB="0" distL="0" distR="0" wp14:anchorId="72B3CC1A" wp14:editId="1F0E2C05">
                <wp:extent cx="5930900" cy="450376"/>
                <wp:effectExtent l="0" t="0" r="12700" b="26035"/>
                <wp:docPr id="5" name="Text Box 2" descr="System requirements text box: Requires Windows 7 or later and any 32-bit or 64-bit installation of Access 2013 or la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0900" cy="450376"/>
                        </a:xfrm>
                        <a:prstGeom prst="rect">
                          <a:avLst/>
                        </a:prstGeom>
                        <a:solidFill>
                          <a:schemeClr val="accent1">
                            <a:lumMod val="20000"/>
                            <a:lumOff val="80000"/>
                          </a:schemeClr>
                        </a:solidFill>
                        <a:ln w="9525">
                          <a:solidFill>
                            <a:srgbClr val="000000"/>
                          </a:solidFill>
                          <a:miter lim="800000"/>
                          <a:headEnd/>
                          <a:tailEnd/>
                        </a:ln>
                      </wps:spPr>
                      <wps:txbx>
                        <w:txbxContent>
                          <w:p w14:paraId="5376D742" w14:textId="77777777" w:rsidR="000F6815" w:rsidRPr="00F27615" w:rsidRDefault="000F6815" w:rsidP="00911CBD">
                            <w:pPr>
                              <w:pStyle w:val="Textboxheading"/>
                            </w:pPr>
                            <w:r w:rsidRPr="00F27615">
                              <w:t>System Requirements</w:t>
                            </w:r>
                          </w:p>
                          <w:p w14:paraId="112CF451" w14:textId="77777777" w:rsidR="000F6815" w:rsidRPr="002F03C3" w:rsidRDefault="000F6815" w:rsidP="00911CBD">
                            <w:pPr>
                              <w:pStyle w:val="Textbox0"/>
                              <w:rPr>
                                <w:szCs w:val="18"/>
                              </w:rPr>
                            </w:pPr>
                            <w:r w:rsidRPr="00911CBD">
                              <w:rPr>
                                <w:b/>
                                <w:bCs/>
                                <w:szCs w:val="18"/>
                              </w:rPr>
                              <w:t>Operating System:</w:t>
                            </w:r>
                            <w:r w:rsidRPr="00716245">
                              <w:rPr>
                                <w:szCs w:val="18"/>
                              </w:rPr>
                              <w:t xml:space="preserve"> </w:t>
                            </w:r>
                            <w:r>
                              <w:rPr>
                                <w:szCs w:val="18"/>
                              </w:rPr>
                              <w:t>Windows 7 or later.</w:t>
                            </w:r>
                            <w:r>
                              <w:rPr>
                                <w:szCs w:val="18"/>
                              </w:rPr>
                              <w:tab/>
                            </w:r>
                            <w:r w:rsidRPr="00911CBD">
                              <w:rPr>
                                <w:b/>
                                <w:bCs/>
                                <w:szCs w:val="18"/>
                              </w:rPr>
                              <w:t>MS Access:</w:t>
                            </w:r>
                            <w:r>
                              <w:rPr>
                                <w:szCs w:val="18"/>
                              </w:rPr>
                              <w:t xml:space="preserve"> any 32- or 64-bit installation of Access 2013 or later.</w:t>
                            </w:r>
                          </w:p>
                        </w:txbxContent>
                      </wps:txbx>
                      <wps:bodyPr rot="0" vert="horz" wrap="square" lIns="91440" tIns="45720" rIns="91440" bIns="45720" anchor="t" anchorCtr="0">
                        <a:noAutofit/>
                      </wps:bodyPr>
                    </wps:wsp>
                  </a:graphicData>
                </a:graphic>
              </wp:inline>
            </w:drawing>
          </mc:Choice>
          <mc:Fallback>
            <w:pict>
              <v:shapetype w14:anchorId="72B3CC1A" id="_x0000_t202" coordsize="21600,21600" o:spt="202" path="m,l,21600r21600,l21600,xe">
                <v:stroke joinstyle="miter"/>
                <v:path gradientshapeok="t" o:connecttype="rect"/>
              </v:shapetype>
              <v:shape id="Text Box 2" o:spid="_x0000_s1026" type="#_x0000_t202" alt="System requirements text box: Requires Windows 7 or later and any 32-bit or 64-bit installation of Access 2013 or later." style="width:467pt;height:3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" fillcolor="#d9e2f3 [660]">
                <v:textbox>
                  <w:txbxContent>
                    <w:p w14:paraId="5376D742" w14:textId="77777777" w:rsidR="000F6815" w:rsidRPr="00F27615" w:rsidRDefault="000F6815" w:rsidP="00911CBD">
                      <w:pPr>
                        <w:pStyle w:val="Textboxheading"/>
                      </w:pPr>
                      <w:r w:rsidRPr="00F27615">
                        <w:t>System Requirements</w:t>
                      </w:r>
                    </w:p>
                    <w:p w14:paraId="112CF451" w14:textId="77777777" w:rsidR="000F6815" w:rsidRPr="002F03C3" w:rsidRDefault="000F6815" w:rsidP="00911CBD">
                      <w:pPr>
                        <w:pStyle w:val="Textbox0"/>
                        <w:rPr>
                          <w:szCs w:val="18"/>
                        </w:rPr>
                      </w:pPr>
                      <w:r w:rsidRPr="00911CBD">
                        <w:rPr>
                          <w:b/>
                          <w:bCs/>
                          <w:szCs w:val="18"/>
                        </w:rPr>
                        <w:t>Operating System:</w:t>
                      </w:r>
                      <w:r w:rsidRPr="00716245">
                        <w:rPr>
                          <w:szCs w:val="18"/>
                        </w:rPr>
                        <w:t xml:space="preserve"> </w:t>
                      </w:r>
                      <w:r>
                        <w:rPr>
                          <w:szCs w:val="18"/>
                        </w:rPr>
                        <w:t>Windows 7 or later.</w:t>
                      </w:r>
                      <w:r>
                        <w:rPr>
                          <w:szCs w:val="18"/>
                        </w:rPr>
                        <w:tab/>
                      </w:r>
                      <w:r w:rsidRPr="00911CBD">
                        <w:rPr>
                          <w:b/>
                          <w:bCs/>
                          <w:szCs w:val="18"/>
                        </w:rPr>
                        <w:t>MS Access:</w:t>
                      </w:r>
                      <w:r>
                        <w:rPr>
                          <w:szCs w:val="18"/>
                        </w:rPr>
                        <w:t xml:space="preserve"> any 32- or 64-bit installation of Access 2013 or later.</w:t>
                      </w:r>
                    </w:p>
                  </w:txbxContent>
                </v:textbox>
                <w10:anchorlock/>
              </v:shape>
            </w:pict>
          </mc:Fallback>
        </mc:AlternateContent>
      </w:r>
      <w:r w:rsidRPr="00286D3B">
        <w:t xml:space="preserve">The </w:t>
      </w:r>
      <w:r>
        <w:t>Biosolids Tool</w:t>
      </w:r>
      <w:r w:rsidRPr="00286D3B">
        <w:t xml:space="preserve"> is an Access database with a graphical user interface that calls the biosolids modeling framework to run in deterministic mode. You must have Microsoft Access 2013 or later to run the </w:t>
      </w:r>
      <w:r>
        <w:t>Biosolids Tool</w:t>
      </w:r>
      <w:r w:rsidRPr="00286D3B">
        <w:t>. To install the Tool,</w:t>
      </w:r>
    </w:p>
    <w:p w14:paraId="23A825F5" w14:textId="77777777" w:rsidR="000F6815" w:rsidRPr="00286D3B" w:rsidRDefault="000F6815" w:rsidP="00791348">
      <w:pPr>
        <w:pStyle w:val="numlist"/>
        <w:numPr>
          <w:ilvl w:val="0"/>
          <w:numId w:val="25"/>
        </w:numPr>
      </w:pPr>
      <w:r w:rsidRPr="00286D3B">
        <w:t xml:space="preserve">Copy the BST_v2022xxxx.zip file to your computer (where </w:t>
      </w:r>
      <w:proofErr w:type="spellStart"/>
      <w:r w:rsidRPr="00286D3B">
        <w:t>xxxx</w:t>
      </w:r>
      <w:proofErr w:type="spellEnd"/>
      <w:r w:rsidRPr="00286D3B">
        <w:t xml:space="preserve"> is the date of release).</w:t>
      </w:r>
    </w:p>
    <w:p w14:paraId="04C4E66C" w14:textId="77777777" w:rsidR="000F6815" w:rsidRPr="00286D3B" w:rsidRDefault="000F6815" w:rsidP="00911CBD">
      <w:pPr>
        <w:pStyle w:val="numlist"/>
      </w:pPr>
      <w:r w:rsidRPr="00286D3B">
        <w:t>Double-click on the zip file to open it.</w:t>
      </w:r>
    </w:p>
    <w:p w14:paraId="10C87C7A" w14:textId="77777777" w:rsidR="000F6815" w:rsidRPr="00286D3B" w:rsidRDefault="000F6815" w:rsidP="00911CBD">
      <w:pPr>
        <w:pStyle w:val="numlist"/>
      </w:pPr>
      <w:r w:rsidRPr="00286D3B">
        <w:t xml:space="preserve">Click on </w:t>
      </w:r>
      <w:r w:rsidRPr="00911CBD">
        <w:rPr>
          <w:rStyle w:val="Button"/>
          <w:sz w:val="24"/>
        </w:rPr>
        <w:t>Extract</w:t>
      </w:r>
      <w:r w:rsidRPr="00286D3B">
        <w:t>.</w:t>
      </w:r>
    </w:p>
    <w:p w14:paraId="765C137B" w14:textId="77777777" w:rsidR="000F6815" w:rsidRPr="00286D3B" w:rsidRDefault="000F6815" w:rsidP="00911CBD">
      <w:pPr>
        <w:pStyle w:val="numlist"/>
      </w:pPr>
      <w:r w:rsidRPr="00286D3B">
        <w:t>Select a folder you have read/write access to as the path to extract to (for example, your My Documents folder).</w:t>
      </w:r>
    </w:p>
    <w:p w14:paraId="45645A9B" w14:textId="77777777" w:rsidR="000F6815" w:rsidRPr="00286D3B" w:rsidRDefault="000F6815" w:rsidP="00911CBD">
      <w:pPr>
        <w:pStyle w:val="numlist"/>
      </w:pPr>
      <w:r w:rsidRPr="00286D3B">
        <w:t xml:space="preserve">Click </w:t>
      </w:r>
      <w:r w:rsidRPr="00911CBD">
        <w:rPr>
          <w:rStyle w:val="Button"/>
          <w:sz w:val="24"/>
        </w:rPr>
        <w:t>Ok</w:t>
      </w:r>
      <w:r w:rsidRPr="00286D3B">
        <w:t>.</w:t>
      </w:r>
    </w:p>
    <w:p w14:paraId="35F4CF24" w14:textId="77777777" w:rsidR="000F6815" w:rsidRPr="00286D3B" w:rsidRDefault="000F6815" w:rsidP="00911CBD">
      <w:pPr>
        <w:pStyle w:val="numlist"/>
      </w:pPr>
      <w:r w:rsidRPr="00286D3B">
        <w:t xml:space="preserve">If updating a previous installation, when it asks if it should overwrite, click on </w:t>
      </w:r>
      <w:r w:rsidRPr="00911CBD">
        <w:rPr>
          <w:rStyle w:val="Button"/>
          <w:sz w:val="24"/>
        </w:rPr>
        <w:t>Yes to All</w:t>
      </w:r>
      <w:r w:rsidRPr="00286D3B">
        <w:t>.</w:t>
      </w:r>
    </w:p>
    <w:p w14:paraId="0BBB61F6" w14:textId="77777777" w:rsidR="000F6815" w:rsidRPr="00286D3B" w:rsidRDefault="000F6815" w:rsidP="00911CBD">
      <w:pPr>
        <w:pStyle w:val="numlist"/>
      </w:pPr>
      <w:r w:rsidRPr="00286D3B">
        <w:t>Close the zip file.</w:t>
      </w:r>
    </w:p>
    <w:p w14:paraId="2EA9D197" w14:textId="77777777" w:rsidR="000F6815" w:rsidRPr="00286D3B" w:rsidRDefault="000F6815" w:rsidP="000F6815">
      <w:pPr>
        <w:pStyle w:val="BodyText"/>
        <w:rPr>
          <w:i/>
          <w:iCs/>
        </w:rPr>
      </w:pPr>
      <w:r w:rsidRPr="00286D3B">
        <w:rPr>
          <w:noProof/>
          <w:lang w:eastAsia="en-US"/>
        </w:rPr>
        <w:drawing>
          <wp:anchor distT="0" distB="0" distL="114300" distR="114300" simplePos="0" relativeHeight="251658241" behindDoc="0" locked="0" layoutInCell="1" allowOverlap="1" wp14:anchorId="6F5F3978" wp14:editId="332C9A05">
            <wp:simplePos x="0" y="0"/>
            <wp:positionH relativeFrom="margin">
              <wp:align>right</wp:align>
            </wp:positionH>
            <wp:positionV relativeFrom="paragraph">
              <wp:posOffset>126596</wp:posOffset>
            </wp:positionV>
            <wp:extent cx="2539365" cy="2051050"/>
            <wp:effectExtent l="0" t="0" r="0" b="6350"/>
            <wp:wrapSquare wrapText="left"/>
            <wp:docPr id="9" name="Picture 9" descr="Example Access Security no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Example Access Security notic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39365" cy="2051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86D3B">
        <w:t>The Tool will be installed in [</w:t>
      </w:r>
      <w:proofErr w:type="spellStart"/>
      <w:r w:rsidRPr="00286D3B">
        <w:t>your_folder</w:t>
      </w:r>
      <w:proofErr w:type="spellEnd"/>
      <w:r w:rsidRPr="00286D3B">
        <w:t xml:space="preserve">]\BST. </w:t>
      </w:r>
      <w:r w:rsidRPr="00286D3B">
        <w:rPr>
          <w:i/>
          <w:iCs/>
        </w:rPr>
        <w:t>Please note that the length of this install folder path cannot exceed 48 characters; if it does, the Tool will generate all zero results when run.</w:t>
      </w:r>
    </w:p>
    <w:p w14:paraId="43DA62AD" w14:textId="77777777" w:rsidR="000F6815" w:rsidRPr="00286D3B" w:rsidRDefault="000F6815" w:rsidP="000F6815">
      <w:pPr>
        <w:pStyle w:val="BodyText"/>
      </w:pPr>
      <w:r w:rsidRPr="00286D3B">
        <w:t xml:space="preserve">To launch the </w:t>
      </w:r>
      <w:r>
        <w:t>Biosolids Tool</w:t>
      </w:r>
      <w:r w:rsidRPr="00286D3B">
        <w:t xml:space="preserve">, double-click the file BST_v2022xxxx.mdb in the BST folder in the location you extracted the files to. </w:t>
      </w:r>
    </w:p>
    <w:p w14:paraId="2C085201" w14:textId="77777777" w:rsidR="000F6815" w:rsidRPr="00286D3B" w:rsidRDefault="000F6815" w:rsidP="000F6815">
      <w:pPr>
        <w:pStyle w:val="BodyText"/>
      </w:pPr>
      <w:r w:rsidRPr="00286D3B">
        <w:t xml:space="preserve">Depending on your Access Trust Center settings, you may see the security warning at right whenever you open the Tool. This is a standard Access warning, and you can safely click on </w:t>
      </w:r>
      <w:r w:rsidRPr="00286D3B">
        <w:rPr>
          <w:rStyle w:val="Button"/>
          <w:sz w:val="24"/>
        </w:rPr>
        <w:t>Open</w:t>
      </w:r>
      <w:r w:rsidRPr="00286D3B">
        <w:t>. You can eliminate this warning by making the location where you saved the Tool a Trusted Location in Access.</w:t>
      </w:r>
      <w:r w:rsidRPr="00286D3B">
        <w:rPr>
          <w:rStyle w:val="FootnoteReference"/>
        </w:rPr>
        <w:footnoteReference w:id="3"/>
      </w:r>
      <w:r w:rsidRPr="00286D3B">
        <w:t xml:space="preserve"> </w:t>
      </w:r>
    </w:p>
    <w:p w14:paraId="563EAAF5" w14:textId="77777777" w:rsidR="000F6815" w:rsidRPr="00286D3B" w:rsidRDefault="000F6815" w:rsidP="000F6815">
      <w:pPr>
        <w:pStyle w:val="BodyText"/>
      </w:pPr>
      <w:r w:rsidRPr="00286D3B">
        <w:t>You may also see the following security warning the first time you run the Tool:</w:t>
      </w:r>
    </w:p>
    <w:p w14:paraId="3D31547E" w14:textId="77777777" w:rsidR="000F6815" w:rsidRPr="00286D3B" w:rsidRDefault="000F6815" w:rsidP="000F6815">
      <w:pPr>
        <w:pStyle w:val="Insertfigure"/>
        <w:spacing w:after="240"/>
        <w:jc w:val="left"/>
        <w:rPr>
          <w:szCs w:val="24"/>
        </w:rPr>
      </w:pPr>
      <w:r w:rsidRPr="00286D3B">
        <w:rPr>
          <w:noProof/>
          <w:szCs w:val="24"/>
        </w:rPr>
        <w:drawing>
          <wp:inline distT="0" distB="0" distL="0" distR="0" wp14:anchorId="511D7B2C" wp14:editId="730B1A27">
            <wp:extent cx="5143946" cy="312447"/>
            <wp:effectExtent l="0" t="0" r="0" b="0"/>
            <wp:docPr id="15" name="Picture 15" descr="Typical security warning that notes that some active content has been disab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ypical security warning that notes that some active content has been disabled."/>
                    <pic:cNvPicPr/>
                  </pic:nvPicPr>
                  <pic:blipFill>
                    <a:blip r:embed="rId19"/>
                    <a:stretch>
                      <a:fillRect/>
                    </a:stretch>
                  </pic:blipFill>
                  <pic:spPr>
                    <a:xfrm>
                      <a:off x="0" y="0"/>
                      <a:ext cx="5143946" cy="312447"/>
                    </a:xfrm>
                    <a:prstGeom prst="rect">
                      <a:avLst/>
                    </a:prstGeom>
                  </pic:spPr>
                </pic:pic>
              </a:graphicData>
            </a:graphic>
          </wp:inline>
        </w:drawing>
      </w:r>
    </w:p>
    <w:p w14:paraId="2883374C" w14:textId="77777777" w:rsidR="000F6815" w:rsidRPr="00286D3B" w:rsidRDefault="000F6815" w:rsidP="000F6815">
      <w:pPr>
        <w:pStyle w:val="BodyText"/>
      </w:pPr>
      <w:r w:rsidRPr="00286D3B">
        <w:t xml:space="preserve">Click on the </w:t>
      </w:r>
      <w:r w:rsidRPr="00286D3B">
        <w:rPr>
          <w:smallCaps/>
        </w:rPr>
        <w:t>Enable Content</w:t>
      </w:r>
      <w:r w:rsidRPr="00286D3B">
        <w:t xml:space="preserve"> button. If you do not, the Tool will not run. This is also a standard Access security feature, but it should not persist after the first time you run the Tool and enable content.</w:t>
      </w:r>
    </w:p>
    <w:bookmarkEnd w:id="32"/>
    <w:p w14:paraId="4CED2A10" w14:textId="77777777" w:rsidR="000F6815" w:rsidRPr="00286D3B" w:rsidRDefault="000F6815" w:rsidP="000F6815">
      <w:pPr>
        <w:pStyle w:val="BodyText"/>
      </w:pPr>
      <w:r w:rsidRPr="00286D3B">
        <w:t xml:space="preserve">When you open the Tool, it displays the limitations warning shown in </w:t>
      </w:r>
      <w:r w:rsidRPr="00286D3B">
        <w:rPr>
          <w:b/>
          <w:bCs/>
        </w:rPr>
        <w:t xml:space="preserve">Figure </w:t>
      </w:r>
      <w:r>
        <w:rPr>
          <w:b/>
          <w:bCs/>
        </w:rPr>
        <w:t>5</w:t>
      </w:r>
      <w:r w:rsidRPr="00286D3B">
        <w:t xml:space="preserve">, which is a briefer version of the limitations described in the front matter. From this screen, you can click on </w:t>
      </w:r>
      <w:r w:rsidRPr="00286D3B">
        <w:lastRenderedPageBreak/>
        <w:t xml:space="preserve">a link to this User’s Guide or click on the </w:t>
      </w:r>
      <w:r w:rsidRPr="00286D3B">
        <w:rPr>
          <w:iCs/>
          <w:smallCaps/>
        </w:rPr>
        <w:t>Continue</w:t>
      </w:r>
      <w:r w:rsidRPr="00286D3B">
        <w:t xml:space="preserve"> button to reach the </w:t>
      </w:r>
      <w:r w:rsidRPr="00286D3B">
        <w:rPr>
          <w:smallCaps/>
        </w:rPr>
        <w:t>Main Menu,</w:t>
      </w:r>
      <w:r w:rsidRPr="00286D3B">
        <w:t xml:space="preserve"> which</w:t>
      </w:r>
      <w:r w:rsidRPr="00286D3B">
        <w:rPr>
          <w:smallCaps/>
        </w:rPr>
        <w:t xml:space="preserve"> </w:t>
      </w:r>
      <w:r w:rsidRPr="00286D3B">
        <w:t xml:space="preserve">is shown in </w:t>
      </w:r>
      <w:r w:rsidRPr="00286D3B">
        <w:rPr>
          <w:b/>
          <w:bCs/>
        </w:rPr>
        <w:t xml:space="preserve">Figure </w:t>
      </w:r>
      <w:r>
        <w:rPr>
          <w:b/>
          <w:bCs/>
        </w:rPr>
        <w:t>6</w:t>
      </w:r>
      <w:r w:rsidRPr="00286D3B">
        <w:rPr>
          <w:b/>
          <w:bCs/>
        </w:rPr>
        <w:t>.</w:t>
      </w:r>
      <w:r w:rsidRPr="00286D3B">
        <w:t xml:space="preserve"> The version number is displayed in the title bar at the top of the </w:t>
      </w:r>
      <w:r w:rsidRPr="00286D3B">
        <w:rPr>
          <w:rStyle w:val="Button"/>
          <w:sz w:val="24"/>
        </w:rPr>
        <w:t>Main Menu</w:t>
      </w:r>
      <w:r w:rsidRPr="00286D3B">
        <w:t xml:space="preserve"> window. From the </w:t>
      </w:r>
      <w:r w:rsidRPr="00286D3B">
        <w:rPr>
          <w:rStyle w:val="Button"/>
          <w:sz w:val="24"/>
        </w:rPr>
        <w:t>Main Menu</w:t>
      </w:r>
      <w:r w:rsidRPr="00286D3B">
        <w:t>, you can configure an analysis, run it, and then view the results. Those activities are described in the following sections.</w:t>
      </w:r>
    </w:p>
    <w:p w14:paraId="41737E48" w14:textId="77777777" w:rsidR="000F6815" w:rsidRPr="00286D3B" w:rsidRDefault="000F6815" w:rsidP="000F6815">
      <w:pPr>
        <w:pStyle w:val="BodyText"/>
      </w:pPr>
      <w:r w:rsidRPr="00286D3B">
        <w:t>Most screens have a Help icon (a question mark in a blue box; see upper right corner of Figure 5); click on that to bring up a PDF of the relevant section of this User’s Guide.</w:t>
      </w:r>
    </w:p>
    <w:p w14:paraId="06C05B2A" w14:textId="77777777" w:rsidR="000F6815" w:rsidRPr="00286D3B" w:rsidRDefault="000F6815" w:rsidP="000F6815">
      <w:pPr>
        <w:pStyle w:val="Insertfigure"/>
        <w:rPr>
          <w:szCs w:val="24"/>
        </w:rPr>
      </w:pPr>
      <w:r>
        <w:rPr>
          <w:noProof/>
          <w:szCs w:val="24"/>
        </w:rPr>
        <w:drawing>
          <wp:inline distT="0" distB="0" distL="0" distR="0" wp14:anchorId="0BF73BD6" wp14:editId="26BF4959">
            <wp:extent cx="4480560" cy="2952250"/>
            <wp:effectExtent l="0" t="0" r="0" b="635"/>
            <wp:docPr id="1" name="Picture 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 application&#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4480560" cy="2952250"/>
                    </a:xfrm>
                    <a:prstGeom prst="rect">
                      <a:avLst/>
                    </a:prstGeom>
                  </pic:spPr>
                </pic:pic>
              </a:graphicData>
            </a:graphic>
          </wp:inline>
        </w:drawing>
      </w:r>
    </w:p>
    <w:p w14:paraId="1C7606EB" w14:textId="77777777" w:rsidR="000F6815" w:rsidRPr="00286D3B" w:rsidRDefault="000F6815" w:rsidP="000F6815">
      <w:pPr>
        <w:pStyle w:val="Figurecaption"/>
      </w:pPr>
      <w:bookmarkStart w:id="34" w:name="_Toc92366062"/>
      <w:bookmarkStart w:id="35" w:name="_Toc103854348"/>
      <w:r w:rsidRPr="00286D3B" w:rsidDel="00001667">
        <w:t xml:space="preserve">Figure </w:t>
      </w:r>
      <w:r>
        <w:t>5</w:t>
      </w:r>
      <w:r w:rsidRPr="00286D3B" w:rsidDel="00001667">
        <w:t xml:space="preserve">. </w:t>
      </w:r>
      <w:r w:rsidRPr="007A295F">
        <w:t>Biosolids</w:t>
      </w:r>
      <w:r w:rsidRPr="00286D3B">
        <w:t xml:space="preserve"> Tool</w:t>
      </w:r>
      <w:r w:rsidRPr="00286D3B" w:rsidDel="00001667">
        <w:t xml:space="preserve"> </w:t>
      </w:r>
      <w:r w:rsidRPr="00286D3B">
        <w:t>limitations disclaimer</w:t>
      </w:r>
      <w:r w:rsidRPr="00286D3B" w:rsidDel="00001667">
        <w:t>.</w:t>
      </w:r>
      <w:bookmarkEnd w:id="34"/>
      <w:bookmarkEnd w:id="35"/>
      <w:r w:rsidRPr="00286D3B" w:rsidDel="00001667">
        <w:t xml:space="preserve"> </w:t>
      </w:r>
    </w:p>
    <w:p w14:paraId="76F422BC" w14:textId="77777777" w:rsidR="000F6815" w:rsidRPr="00286D3B" w:rsidRDefault="000F6815" w:rsidP="000F6815">
      <w:pPr>
        <w:pStyle w:val="Insertfigure"/>
        <w:rPr>
          <w:szCs w:val="24"/>
        </w:rPr>
      </w:pPr>
      <w:r>
        <w:rPr>
          <w:noProof/>
          <w:szCs w:val="24"/>
        </w:rPr>
        <w:drawing>
          <wp:inline distT="0" distB="0" distL="0" distR="0" wp14:anchorId="136DB58C" wp14:editId="72DA8A02">
            <wp:extent cx="4480560" cy="3466922"/>
            <wp:effectExtent l="0" t="0" r="0" b="635"/>
            <wp:docPr id="8" name="Picture 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4480560" cy="3466922"/>
                    </a:xfrm>
                    <a:prstGeom prst="rect">
                      <a:avLst/>
                    </a:prstGeom>
                  </pic:spPr>
                </pic:pic>
              </a:graphicData>
            </a:graphic>
          </wp:inline>
        </w:drawing>
      </w:r>
    </w:p>
    <w:p w14:paraId="0EE57D70" w14:textId="77777777" w:rsidR="000F6815" w:rsidRPr="00286D3B" w:rsidRDefault="000F6815" w:rsidP="000F6815">
      <w:pPr>
        <w:pStyle w:val="Figurecaption"/>
      </w:pPr>
      <w:bookmarkStart w:id="36" w:name="_Toc92366063"/>
      <w:bookmarkStart w:id="37" w:name="_Toc103854349"/>
      <w:r w:rsidRPr="00286D3B" w:rsidDel="00001667">
        <w:t xml:space="preserve">Figure </w:t>
      </w:r>
      <w:r>
        <w:t>6</w:t>
      </w:r>
      <w:r w:rsidRPr="00286D3B" w:rsidDel="00001667">
        <w:t xml:space="preserve">. </w:t>
      </w:r>
      <w:r w:rsidRPr="00286D3B">
        <w:t>Biosolids Tool</w:t>
      </w:r>
      <w:r w:rsidRPr="00286D3B" w:rsidDel="00001667">
        <w:t xml:space="preserve"> </w:t>
      </w:r>
      <w:r w:rsidRPr="00286D3B">
        <w:rPr>
          <w:smallCaps/>
        </w:rPr>
        <w:t>Main Menu</w:t>
      </w:r>
      <w:r w:rsidRPr="00286D3B" w:rsidDel="00001667">
        <w:t>.</w:t>
      </w:r>
      <w:bookmarkEnd w:id="36"/>
      <w:bookmarkEnd w:id="37"/>
      <w:r w:rsidRPr="00286D3B" w:rsidDel="00001667">
        <w:t xml:space="preserve"> </w:t>
      </w:r>
    </w:p>
    <w:p w14:paraId="1509DDF9" w14:textId="77777777" w:rsidR="000F6815" w:rsidRPr="00286D3B" w:rsidRDefault="000F6815" w:rsidP="000F6815">
      <w:pPr>
        <w:pStyle w:val="BodyText"/>
      </w:pPr>
      <w:r w:rsidRPr="00286D3B">
        <w:rPr>
          <w:noProof/>
          <w:lang w:eastAsia="en-US"/>
        </w:rPr>
        <w:lastRenderedPageBreak/>
        <mc:AlternateContent>
          <mc:Choice Requires="wps">
            <w:drawing>
              <wp:inline distT="0" distB="0" distL="0" distR="0" wp14:anchorId="44ED59E0" wp14:editId="6AB95EC7">
                <wp:extent cx="5932627" cy="8449056"/>
                <wp:effectExtent l="0" t="0" r="11430" b="28575"/>
                <wp:docPr id="3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2627" cy="8449056"/>
                        </a:xfrm>
                        <a:prstGeom prst="rect">
                          <a:avLst/>
                        </a:prstGeom>
                        <a:solidFill>
                          <a:schemeClr val="accent1">
                            <a:lumMod val="20000"/>
                            <a:lumOff val="80000"/>
                          </a:schemeClr>
                        </a:solidFill>
                        <a:ln w="9525">
                          <a:solidFill>
                            <a:srgbClr val="000000"/>
                          </a:solidFill>
                          <a:miter lim="800000"/>
                          <a:headEnd/>
                          <a:tailEnd/>
                        </a:ln>
                      </wps:spPr>
                      <wps:txbx>
                        <w:txbxContent>
                          <w:p w14:paraId="5DFDE3D8" w14:textId="77777777" w:rsidR="000F6815" w:rsidRDefault="000F6815" w:rsidP="000F6815">
                            <w:pPr>
                              <w:pStyle w:val="Textboxheading"/>
                            </w:pPr>
                            <w:r>
                              <w:t>A Note about Scroll Bars in the Biosolids Tool</w:t>
                            </w:r>
                          </w:p>
                          <w:p w14:paraId="701ABA18" w14:textId="77777777" w:rsidR="000F6815" w:rsidRDefault="000F6815" w:rsidP="000F6815">
                            <w:pPr>
                              <w:pStyle w:val="Textbox0"/>
                            </w:pPr>
                            <w:r>
                              <w:t xml:space="preserve">The </w:t>
                            </w:r>
                            <w:r w:rsidRPr="0049399A">
                              <w:rPr>
                                <w:rStyle w:val="Button"/>
                                <w:szCs w:val="18"/>
                              </w:rPr>
                              <w:t>Configure</w:t>
                            </w:r>
                            <w:r w:rsidRPr="0049399A">
                              <w:rPr>
                                <w:szCs w:val="18"/>
                              </w:rPr>
                              <w:t xml:space="preserve"> and </w:t>
                            </w:r>
                            <w:r w:rsidRPr="0049399A">
                              <w:rPr>
                                <w:rStyle w:val="Button"/>
                                <w:szCs w:val="18"/>
                              </w:rPr>
                              <w:t>View</w:t>
                            </w:r>
                            <w:r w:rsidRPr="0049399A">
                              <w:rPr>
                                <w:szCs w:val="18"/>
                              </w:rPr>
                              <w:t xml:space="preserve"> </w:t>
                            </w:r>
                            <w:r w:rsidRPr="0049399A">
                              <w:rPr>
                                <w:rStyle w:val="Button"/>
                                <w:szCs w:val="18"/>
                              </w:rPr>
                              <w:t>Results</w:t>
                            </w:r>
                            <w:r>
                              <w:t xml:space="preserve"> windows of the Tool use nested forms to display multiple tabs within the window and sometimes subtabs within the tabs. Each nested level has its own set of vertical and horizontal scroll bars if the data in that level do not all fit on the screen at once. This can become confusing when there are three nested layers, as here:</w:t>
                            </w:r>
                          </w:p>
                          <w:p w14:paraId="4C6228BF" w14:textId="77777777" w:rsidR="000F6815" w:rsidRDefault="000F6815" w:rsidP="000F6815">
                            <w:pPr>
                              <w:pStyle w:val="Insertfigure"/>
                            </w:pPr>
                            <w:r>
                              <w:rPr>
                                <w:noProof/>
                              </w:rPr>
                              <w:drawing>
                                <wp:inline distT="0" distB="0" distL="0" distR="0" wp14:anchorId="7A66CFAA" wp14:editId="5539A4CB">
                                  <wp:extent cx="5486400" cy="3716931"/>
                                  <wp:effectExtent l="0" t="0" r="0" b="0"/>
                                  <wp:docPr id="308" name="Picture 308" descr="A screen shot showing how multiple scroll bars within the Tool correspond to different levels of the windows, tabs, and subtabs that organize the Tool. Generally, the outermost scroll bar goes with the highest level of organization (a window) and the innermost with the most detailed level (here, a sub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Picture 308" descr="A screen shot showing how multiple scroll bars within the Tool correspond to different levels of the windows, tabs, and subtabs that organize the Tool. Generally, the outermost scroll bar goes with the highest level of organization (a window) and the innermost with the most detailed level (here, a subtab)."/>
                                          <pic:cNvPicPr/>
                                        </pic:nvPicPr>
                                        <pic:blipFill>
                                          <a:blip r:embed="rId22">
                                            <a:extLst>
                                              <a:ext uri="{28A0092B-C50C-407E-A947-70E740481C1C}">
                                                <a14:useLocalDpi xmlns:a14="http://schemas.microsoft.com/office/drawing/2010/main" val="0"/>
                                              </a:ext>
                                            </a:extLst>
                                          </a:blip>
                                          <a:stretch>
                                            <a:fillRect/>
                                          </a:stretch>
                                        </pic:blipFill>
                                        <pic:spPr>
                                          <a:xfrm>
                                            <a:off x="0" y="0"/>
                                            <a:ext cx="5517138" cy="3737756"/>
                                          </a:xfrm>
                                          <a:prstGeom prst="rect">
                                            <a:avLst/>
                                          </a:prstGeom>
                                        </pic:spPr>
                                      </pic:pic>
                                    </a:graphicData>
                                  </a:graphic>
                                </wp:inline>
                              </w:drawing>
                            </w:r>
                          </w:p>
                          <w:p w14:paraId="6CC2154E" w14:textId="77777777" w:rsidR="000F6815" w:rsidRDefault="000F6815" w:rsidP="000F6815">
                            <w:pPr>
                              <w:pStyle w:val="Textbox0"/>
                              <w:spacing w:before="60"/>
                            </w:pPr>
                            <w:r>
                              <w:t xml:space="preserve">Here, the </w:t>
                            </w:r>
                            <w:r w:rsidRPr="001A49CE">
                              <w:rPr>
                                <w:smallCaps/>
                              </w:rPr>
                              <w:t>Configure Model</w:t>
                            </w:r>
                            <w:r>
                              <w:t xml:space="preserve"> window contains five tabs, and the last tab, </w:t>
                            </w:r>
                            <w:r w:rsidRPr="001A49CE">
                              <w:rPr>
                                <w:smallCaps/>
                              </w:rPr>
                              <w:t>Inputs</w:t>
                            </w:r>
                            <w:r>
                              <w:t xml:space="preserve">, contains seven subtabs. </w:t>
                            </w:r>
                            <w:r w:rsidRPr="00BF1A16">
                              <w:t xml:space="preserve">The outermost scroll bar </w:t>
                            </w:r>
                            <w:r>
                              <w:t>(A)</w:t>
                            </w:r>
                            <w:r w:rsidRPr="00BF1A16">
                              <w:t xml:space="preserve"> </w:t>
                            </w:r>
                            <w:r>
                              <w:t>controls</w:t>
                            </w:r>
                            <w:r w:rsidRPr="00BF1A16">
                              <w:t xml:space="preserve"> the </w:t>
                            </w:r>
                            <w:proofErr w:type="gramStart"/>
                            <w:r>
                              <w:t>top level</w:t>
                            </w:r>
                            <w:proofErr w:type="gramEnd"/>
                            <w:r>
                              <w:t xml:space="preserve"> window (here, the</w:t>
                            </w:r>
                            <w:r w:rsidRPr="00BF1A16">
                              <w:t xml:space="preserve"> </w:t>
                            </w:r>
                            <w:r w:rsidRPr="0049399A">
                              <w:rPr>
                                <w:smallCaps/>
                              </w:rPr>
                              <w:t>Configure</w:t>
                            </w:r>
                            <w:r>
                              <w:rPr>
                                <w:smallCaps/>
                              </w:rPr>
                              <w:t xml:space="preserve"> Model</w:t>
                            </w:r>
                            <w:r w:rsidRPr="00BF1A16">
                              <w:t xml:space="preserve"> window</w:t>
                            </w:r>
                            <w:r>
                              <w:t>)</w:t>
                            </w:r>
                            <w:r w:rsidRPr="00BF1A16">
                              <w:t xml:space="preserve">. The </w:t>
                            </w:r>
                            <w:r>
                              <w:t>next one in (</w:t>
                            </w:r>
                            <w:r w:rsidRPr="00BF1A16">
                              <w:t>B</w:t>
                            </w:r>
                            <w:r>
                              <w:t xml:space="preserve">) controls the next nested level (here, </w:t>
                            </w:r>
                            <w:r w:rsidRPr="00BF1A16">
                              <w:t xml:space="preserve">the </w:t>
                            </w:r>
                            <w:r w:rsidRPr="0049399A">
                              <w:rPr>
                                <w:smallCaps/>
                              </w:rPr>
                              <w:t>Inputs</w:t>
                            </w:r>
                            <w:r w:rsidRPr="00BF1A16">
                              <w:t xml:space="preserve"> tab</w:t>
                            </w:r>
                            <w:r>
                              <w:t>)</w:t>
                            </w:r>
                            <w:r w:rsidRPr="00BF1A16">
                              <w:t>. Finally, the innermost</w:t>
                            </w:r>
                            <w:r>
                              <w:t xml:space="preserve"> scroll bar (</w:t>
                            </w:r>
                            <w:r w:rsidRPr="00BF1A16">
                              <w:t>C</w:t>
                            </w:r>
                            <w:r>
                              <w:t xml:space="preserve">) controls </w:t>
                            </w:r>
                            <w:r w:rsidRPr="00BF1A16">
                              <w:t>the</w:t>
                            </w:r>
                            <w:r>
                              <w:t xml:space="preserve"> most detailed nested level (here, the</w:t>
                            </w:r>
                            <w:r w:rsidRPr="00BF1A16">
                              <w:t xml:space="preserve"> </w:t>
                            </w:r>
                            <w:r w:rsidRPr="0049399A">
                              <w:rPr>
                                <w:smallCaps/>
                              </w:rPr>
                              <w:t>Chemical Inputs</w:t>
                            </w:r>
                            <w:r w:rsidRPr="00BF1A16">
                              <w:t xml:space="preserve"> subtab</w:t>
                            </w:r>
                            <w:r>
                              <w:t>)</w:t>
                            </w:r>
                            <w:r w:rsidRPr="00BF1A16">
                              <w:t xml:space="preserve">. </w:t>
                            </w:r>
                            <w:proofErr w:type="gramStart"/>
                            <w:r>
                              <w:t>So</w:t>
                            </w:r>
                            <w:proofErr w:type="gramEnd"/>
                            <w:r>
                              <w:t xml:space="preserve"> you will mostly use the </w:t>
                            </w:r>
                            <w:r w:rsidRPr="001A49CE">
                              <w:rPr>
                                <w:i/>
                                <w:iCs/>
                              </w:rPr>
                              <w:t>innermost</w:t>
                            </w:r>
                            <w:r>
                              <w:t xml:space="preserve"> vertical scroll bar to scroll through long lists of options.</w:t>
                            </w:r>
                          </w:p>
                          <w:p w14:paraId="6CB83D15" w14:textId="77777777" w:rsidR="000F6815" w:rsidRDefault="000F6815" w:rsidP="000F6815">
                            <w:pPr>
                              <w:pStyle w:val="Textbox0"/>
                              <w:spacing w:before="60"/>
                            </w:pPr>
                            <w:r>
                              <w:t xml:space="preserve">You will typically only need the other vertical scroll bars when you are viewing a screen where the data are too wide to fit on the screen at once (the </w:t>
                            </w:r>
                            <w:r w:rsidRPr="001A49CE">
                              <w:rPr>
                                <w:smallCaps/>
                              </w:rPr>
                              <w:t>Inputs</w:t>
                            </w:r>
                            <w:r>
                              <w:t xml:space="preserve"> tab, shown above, and the </w:t>
                            </w:r>
                            <w:r w:rsidRPr="001A49CE">
                              <w:rPr>
                                <w:smallCaps/>
                              </w:rPr>
                              <w:t>View Results</w:t>
                            </w:r>
                            <w:r>
                              <w:t xml:space="preserve"> windows). In those instances, </w:t>
                            </w:r>
                            <w:r w:rsidRPr="00BF1A16">
                              <w:t xml:space="preserve">you </w:t>
                            </w:r>
                            <w:r>
                              <w:t xml:space="preserve">may not be able to see the innermost horizontal scroll bar (as above, where only the A </w:t>
                            </w:r>
                            <w:r w:rsidRPr="00BF1A16">
                              <w:t>and B horizontal scroll bars</w:t>
                            </w:r>
                            <w:r>
                              <w:t xml:space="preserve"> are visible at first)</w:t>
                            </w:r>
                            <w:r w:rsidRPr="00BF1A16">
                              <w:t>.</w:t>
                            </w:r>
                            <w:r>
                              <w:t xml:space="preserve"> Then, you will need to scroll </w:t>
                            </w:r>
                            <w:r w:rsidRPr="00BF1A16">
                              <w:t>the next vertical bar out (B) all the way to the bottom</w:t>
                            </w:r>
                            <w:r>
                              <w:t xml:space="preserve"> to display the innermost (C) </w:t>
                            </w:r>
                            <w:r w:rsidRPr="00BF1A16">
                              <w:t>horizontal scroll bar (</w:t>
                            </w:r>
                            <w:r>
                              <w:t xml:space="preserve">below, </w:t>
                            </w:r>
                            <w:r w:rsidRPr="00BF1A16">
                              <w:t>left)</w:t>
                            </w:r>
                            <w:r>
                              <w:t>. You can then use</w:t>
                            </w:r>
                            <w:r w:rsidRPr="00BF1A16">
                              <w:t xml:space="preserve"> the C scroll bar to </w:t>
                            </w:r>
                            <w:r>
                              <w:t xml:space="preserve">scroll to </w:t>
                            </w:r>
                            <w:r w:rsidRPr="00BF1A16">
                              <w:t>the right to see more columns (</w:t>
                            </w:r>
                            <w:r>
                              <w:t xml:space="preserve">below, </w:t>
                            </w:r>
                            <w:r w:rsidRPr="00BF1A16">
                              <w:t>right).</w:t>
                            </w:r>
                            <w:r>
                              <w:t xml:space="preserve"> Note that t</w:t>
                            </w:r>
                            <w:r w:rsidRPr="00BF1A16">
                              <w:t>he titles at the top of the columns have scrolled off screen</w:t>
                            </w:r>
                            <w:r>
                              <w:t>, so once you scroll right, you may want to scroll back up using the B scroll bar until they appear again</w:t>
                            </w:r>
                            <w:r w:rsidRPr="00BF1A16">
                              <w:t xml:space="preserve">. </w:t>
                            </w:r>
                          </w:p>
                          <w:p w14:paraId="730C3042" w14:textId="77777777" w:rsidR="000F6815" w:rsidRDefault="000F6815" w:rsidP="000F6815">
                            <w:r>
                              <w:rPr>
                                <w:noProof/>
                              </w:rPr>
                              <w:drawing>
                                <wp:inline distT="0" distB="0" distL="0" distR="0" wp14:anchorId="1F73D94A" wp14:editId="3A63A1AF">
                                  <wp:extent cx="2631105" cy="2103120"/>
                                  <wp:effectExtent l="0" t="0" r="0" b="0"/>
                                  <wp:docPr id="309" name="Picture 309" descr="Screen capture showing greater detail of what may be visible when multiple scroll bars are pres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Picture 309" descr="Screen capture showing greater detail of what may be visible when multiple scroll bars are present"/>
                                          <pic:cNvPicPr/>
                                        </pic:nvPicPr>
                                        <pic:blipFill rotWithShape="1">
                                          <a:blip r:embed="rId23"/>
                                          <a:srcRect l="36218" t="16893"/>
                                          <a:stretch/>
                                        </pic:blipFill>
                                        <pic:spPr bwMode="auto">
                                          <a:xfrm>
                                            <a:off x="0" y="0"/>
                                            <a:ext cx="2631105" cy="2103120"/>
                                          </a:xfrm>
                                          <a:prstGeom prst="rect">
                                            <a:avLst/>
                                          </a:prstGeom>
                                          <a:ln>
                                            <a:noFill/>
                                          </a:ln>
                                          <a:extLst>
                                            <a:ext uri="{53640926-AAD7-44D8-BBD7-CCE9431645EC}">
                                              <a14:shadowObscured xmlns:a14="http://schemas.microsoft.com/office/drawing/2010/main"/>
                                            </a:ext>
                                          </a:extLst>
                                        </pic:spPr>
                                      </pic:pic>
                                    </a:graphicData>
                                  </a:graphic>
                                </wp:inline>
                              </w:drawing>
                            </w:r>
                            <w:r w:rsidRPr="0049399A">
                              <w:t xml:space="preserve">       </w:t>
                            </w:r>
                            <w:r>
                              <w:rPr>
                                <w:noProof/>
                              </w:rPr>
                              <w:drawing>
                                <wp:inline distT="0" distB="0" distL="0" distR="0" wp14:anchorId="1B3E7A16" wp14:editId="46DE6AB8">
                                  <wp:extent cx="2765909" cy="2103120"/>
                                  <wp:effectExtent l="0" t="0" r="0" b="0"/>
                                  <wp:docPr id="310" name="Picture 310" descr="Screen capture showing greater detail of what may be visible when multiple scroll bars are pres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Picture 310" descr="Screen capture showing greater detail of what may be visible when multiple scroll bars are present"/>
                                          <pic:cNvPicPr/>
                                        </pic:nvPicPr>
                                        <pic:blipFill rotWithShape="1">
                                          <a:blip r:embed="rId24"/>
                                          <a:srcRect t="14455" r="30983"/>
                                          <a:stretch/>
                                        </pic:blipFill>
                                        <pic:spPr bwMode="auto">
                                          <a:xfrm>
                                            <a:off x="0" y="0"/>
                                            <a:ext cx="2765909" cy="2103120"/>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a:graphicData>
                </a:graphic>
              </wp:inline>
            </w:drawing>
          </mc:Choice>
          <mc:Fallback>
            <w:pict>
              <v:shape w14:anchorId="44ED59E0" id="_x0000_s1027" type="#_x0000_t202" style="width:467.15pt;height:66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" fillcolor="#d9e2f3 [660]">
                <v:textbox>
                  <w:txbxContent>
                    <w:p w14:paraId="5DFDE3D8" w14:textId="77777777" w:rsidR="000F6815" w:rsidRDefault="000F6815" w:rsidP="000F6815">
                      <w:pPr>
                        <w:pStyle w:val="Textboxheading"/>
                      </w:pPr>
                      <w:r>
                        <w:t>A Note about Scroll Bars in the Biosolids Tool</w:t>
                      </w:r>
                    </w:p>
                    <w:p w14:paraId="701ABA18" w14:textId="77777777" w:rsidR="000F6815" w:rsidRDefault="000F6815" w:rsidP="000F6815">
                      <w:pPr>
                        <w:pStyle w:val="Textbox0"/>
                      </w:pPr>
                      <w:r>
                        <w:t xml:space="preserve">The </w:t>
                      </w:r>
                      <w:r w:rsidRPr="0049399A">
                        <w:rPr>
                          <w:rStyle w:val="Button"/>
                          <w:szCs w:val="18"/>
                        </w:rPr>
                        <w:t>Configure</w:t>
                      </w:r>
                      <w:r w:rsidRPr="0049399A">
                        <w:rPr>
                          <w:szCs w:val="18"/>
                        </w:rPr>
                        <w:t xml:space="preserve"> and </w:t>
                      </w:r>
                      <w:r w:rsidRPr="0049399A">
                        <w:rPr>
                          <w:rStyle w:val="Button"/>
                          <w:szCs w:val="18"/>
                        </w:rPr>
                        <w:t>View</w:t>
                      </w:r>
                      <w:r w:rsidRPr="0049399A">
                        <w:rPr>
                          <w:szCs w:val="18"/>
                        </w:rPr>
                        <w:t xml:space="preserve"> </w:t>
                      </w:r>
                      <w:r w:rsidRPr="0049399A">
                        <w:rPr>
                          <w:rStyle w:val="Button"/>
                          <w:szCs w:val="18"/>
                        </w:rPr>
                        <w:t>Results</w:t>
                      </w:r>
                      <w:r>
                        <w:t xml:space="preserve"> windows of the Tool use nested forms to display multiple tabs within the window and sometimes subtabs within the tabs. Each nested level has its own set of vertical and horizontal scroll bars if the data in that level do not all fit on the screen at once. This can become confusing when there are three nested layers, as here:</w:t>
                      </w:r>
                    </w:p>
                    <w:p w14:paraId="4C6228BF" w14:textId="77777777" w:rsidR="000F6815" w:rsidRDefault="000F6815" w:rsidP="000F6815">
                      <w:pPr>
                        <w:pStyle w:val="Insertfigure"/>
                      </w:pPr>
                      <w:r>
                        <w:rPr>
                          <w:noProof/>
                        </w:rPr>
                        <w:drawing>
                          <wp:inline distT="0" distB="0" distL="0" distR="0" wp14:anchorId="7A66CFAA" wp14:editId="5539A4CB">
                            <wp:extent cx="5486400" cy="3716931"/>
                            <wp:effectExtent l="0" t="0" r="0" b="0"/>
                            <wp:docPr id="308" name="Picture 308" descr="A screen shot showing how multiple scroll bars within the Tool correspond to different levels of the windows, tabs, and subtabs that organize the Tool. Generally, the outermost scroll bar goes with the highest level of organization (a window) and the innermost with the most detailed level (here, a sub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Picture 308" descr="A screen shot showing how multiple scroll bars within the Tool correspond to different levels of the windows, tabs, and subtabs that organize the Tool. Generally, the outermost scroll bar goes with the highest level of organization (a window) and the innermost with the most detailed level (here, a subtab)."/>
                                    <pic:cNvPicPr/>
                                  </pic:nvPicPr>
                                  <pic:blipFill>
                                    <a:blip r:embed="rId22">
                                      <a:extLst>
                                        <a:ext uri="{28A0092B-C50C-407E-A947-70E740481C1C}">
                                          <a14:useLocalDpi xmlns:a14="http://schemas.microsoft.com/office/drawing/2010/main" val="0"/>
                                        </a:ext>
                                      </a:extLst>
                                    </a:blip>
                                    <a:stretch>
                                      <a:fillRect/>
                                    </a:stretch>
                                  </pic:blipFill>
                                  <pic:spPr>
                                    <a:xfrm>
                                      <a:off x="0" y="0"/>
                                      <a:ext cx="5517138" cy="3737756"/>
                                    </a:xfrm>
                                    <a:prstGeom prst="rect">
                                      <a:avLst/>
                                    </a:prstGeom>
                                  </pic:spPr>
                                </pic:pic>
                              </a:graphicData>
                            </a:graphic>
                          </wp:inline>
                        </w:drawing>
                      </w:r>
                    </w:p>
                    <w:p w14:paraId="6CC2154E" w14:textId="77777777" w:rsidR="000F6815" w:rsidRDefault="000F6815" w:rsidP="000F6815">
                      <w:pPr>
                        <w:pStyle w:val="Textbox0"/>
                        <w:spacing w:before="60"/>
                      </w:pPr>
                      <w:r>
                        <w:t xml:space="preserve">Here, the </w:t>
                      </w:r>
                      <w:r w:rsidRPr="001A49CE">
                        <w:rPr>
                          <w:smallCaps/>
                        </w:rPr>
                        <w:t>Configure Model</w:t>
                      </w:r>
                      <w:r>
                        <w:t xml:space="preserve"> window contains five tabs, and the last tab, </w:t>
                      </w:r>
                      <w:r w:rsidRPr="001A49CE">
                        <w:rPr>
                          <w:smallCaps/>
                        </w:rPr>
                        <w:t>Inputs</w:t>
                      </w:r>
                      <w:r>
                        <w:t xml:space="preserve">, contains seven subtabs. </w:t>
                      </w:r>
                      <w:r w:rsidRPr="00BF1A16">
                        <w:t xml:space="preserve">The outermost scroll bar </w:t>
                      </w:r>
                      <w:r>
                        <w:t>(A)</w:t>
                      </w:r>
                      <w:r w:rsidRPr="00BF1A16">
                        <w:t xml:space="preserve"> </w:t>
                      </w:r>
                      <w:r>
                        <w:t>controls</w:t>
                      </w:r>
                      <w:r w:rsidRPr="00BF1A16">
                        <w:t xml:space="preserve"> the </w:t>
                      </w:r>
                      <w:proofErr w:type="gramStart"/>
                      <w:r>
                        <w:t>top level</w:t>
                      </w:r>
                      <w:proofErr w:type="gramEnd"/>
                      <w:r>
                        <w:t xml:space="preserve"> window (here, the</w:t>
                      </w:r>
                      <w:r w:rsidRPr="00BF1A16">
                        <w:t xml:space="preserve"> </w:t>
                      </w:r>
                      <w:r w:rsidRPr="0049399A">
                        <w:rPr>
                          <w:smallCaps/>
                        </w:rPr>
                        <w:t>Configure</w:t>
                      </w:r>
                      <w:r>
                        <w:rPr>
                          <w:smallCaps/>
                        </w:rPr>
                        <w:t xml:space="preserve"> Model</w:t>
                      </w:r>
                      <w:r w:rsidRPr="00BF1A16">
                        <w:t xml:space="preserve"> window</w:t>
                      </w:r>
                      <w:r>
                        <w:t>)</w:t>
                      </w:r>
                      <w:r w:rsidRPr="00BF1A16">
                        <w:t xml:space="preserve">. The </w:t>
                      </w:r>
                      <w:r>
                        <w:t>next one in (</w:t>
                      </w:r>
                      <w:r w:rsidRPr="00BF1A16">
                        <w:t>B</w:t>
                      </w:r>
                      <w:r>
                        <w:t xml:space="preserve">) controls the next nested level (here, </w:t>
                      </w:r>
                      <w:r w:rsidRPr="00BF1A16">
                        <w:t xml:space="preserve">the </w:t>
                      </w:r>
                      <w:r w:rsidRPr="0049399A">
                        <w:rPr>
                          <w:smallCaps/>
                        </w:rPr>
                        <w:t>Inputs</w:t>
                      </w:r>
                      <w:r w:rsidRPr="00BF1A16">
                        <w:t xml:space="preserve"> tab</w:t>
                      </w:r>
                      <w:r>
                        <w:t>)</w:t>
                      </w:r>
                      <w:r w:rsidRPr="00BF1A16">
                        <w:t>. Finally, the innermost</w:t>
                      </w:r>
                      <w:r>
                        <w:t xml:space="preserve"> scroll bar (</w:t>
                      </w:r>
                      <w:r w:rsidRPr="00BF1A16">
                        <w:t>C</w:t>
                      </w:r>
                      <w:r>
                        <w:t xml:space="preserve">) controls </w:t>
                      </w:r>
                      <w:r w:rsidRPr="00BF1A16">
                        <w:t>the</w:t>
                      </w:r>
                      <w:r>
                        <w:t xml:space="preserve"> most detailed nested level (here, the</w:t>
                      </w:r>
                      <w:r w:rsidRPr="00BF1A16">
                        <w:t xml:space="preserve"> </w:t>
                      </w:r>
                      <w:r w:rsidRPr="0049399A">
                        <w:rPr>
                          <w:smallCaps/>
                        </w:rPr>
                        <w:t>Chemical Inputs</w:t>
                      </w:r>
                      <w:r w:rsidRPr="00BF1A16">
                        <w:t xml:space="preserve"> subtab</w:t>
                      </w:r>
                      <w:r>
                        <w:t>)</w:t>
                      </w:r>
                      <w:r w:rsidRPr="00BF1A16">
                        <w:t xml:space="preserve">. </w:t>
                      </w:r>
                      <w:proofErr w:type="gramStart"/>
                      <w:r>
                        <w:t>So</w:t>
                      </w:r>
                      <w:proofErr w:type="gramEnd"/>
                      <w:r>
                        <w:t xml:space="preserve"> you will mostly use the </w:t>
                      </w:r>
                      <w:r w:rsidRPr="001A49CE">
                        <w:rPr>
                          <w:i/>
                          <w:iCs/>
                        </w:rPr>
                        <w:t>innermost</w:t>
                      </w:r>
                      <w:r>
                        <w:t xml:space="preserve"> vertical scroll bar to scroll through long lists of options.</w:t>
                      </w:r>
                    </w:p>
                    <w:p w14:paraId="6CB83D15" w14:textId="77777777" w:rsidR="000F6815" w:rsidRDefault="000F6815" w:rsidP="000F6815">
                      <w:pPr>
                        <w:pStyle w:val="Textbox0"/>
                        <w:spacing w:before="60"/>
                      </w:pPr>
                      <w:r>
                        <w:t xml:space="preserve">You will typically only need the other vertical scroll bars when you are viewing a screen where the data are too wide to fit on the screen at once (the </w:t>
                      </w:r>
                      <w:r w:rsidRPr="001A49CE">
                        <w:rPr>
                          <w:smallCaps/>
                        </w:rPr>
                        <w:t>Inputs</w:t>
                      </w:r>
                      <w:r>
                        <w:t xml:space="preserve"> tab, shown above, and the </w:t>
                      </w:r>
                      <w:r w:rsidRPr="001A49CE">
                        <w:rPr>
                          <w:smallCaps/>
                        </w:rPr>
                        <w:t>View Results</w:t>
                      </w:r>
                      <w:r>
                        <w:t xml:space="preserve"> windows). In those instances, </w:t>
                      </w:r>
                      <w:r w:rsidRPr="00BF1A16">
                        <w:t xml:space="preserve">you </w:t>
                      </w:r>
                      <w:r>
                        <w:t xml:space="preserve">may not be able to see the innermost horizontal scroll bar (as above, where only the A </w:t>
                      </w:r>
                      <w:r w:rsidRPr="00BF1A16">
                        <w:t>and B horizontal scroll bars</w:t>
                      </w:r>
                      <w:r>
                        <w:t xml:space="preserve"> are visible at first)</w:t>
                      </w:r>
                      <w:r w:rsidRPr="00BF1A16">
                        <w:t>.</w:t>
                      </w:r>
                      <w:r>
                        <w:t xml:space="preserve"> Then, you will need to scroll </w:t>
                      </w:r>
                      <w:r w:rsidRPr="00BF1A16">
                        <w:t>the next vertical bar out (B) all the way to the bottom</w:t>
                      </w:r>
                      <w:r>
                        <w:t xml:space="preserve"> to display the innermost (C) </w:t>
                      </w:r>
                      <w:r w:rsidRPr="00BF1A16">
                        <w:t>horizontal scroll bar (</w:t>
                      </w:r>
                      <w:r>
                        <w:t xml:space="preserve">below, </w:t>
                      </w:r>
                      <w:r w:rsidRPr="00BF1A16">
                        <w:t>left)</w:t>
                      </w:r>
                      <w:r>
                        <w:t>. You can then use</w:t>
                      </w:r>
                      <w:r w:rsidRPr="00BF1A16">
                        <w:t xml:space="preserve"> the C scroll bar to </w:t>
                      </w:r>
                      <w:r>
                        <w:t xml:space="preserve">scroll to </w:t>
                      </w:r>
                      <w:r w:rsidRPr="00BF1A16">
                        <w:t>the right to see more columns (</w:t>
                      </w:r>
                      <w:r>
                        <w:t xml:space="preserve">below, </w:t>
                      </w:r>
                      <w:r w:rsidRPr="00BF1A16">
                        <w:t>right).</w:t>
                      </w:r>
                      <w:r>
                        <w:t xml:space="preserve"> Note that t</w:t>
                      </w:r>
                      <w:r w:rsidRPr="00BF1A16">
                        <w:t>he titles at the top of the columns have scrolled off screen</w:t>
                      </w:r>
                      <w:r>
                        <w:t>, so once you scroll right, you may want to scroll back up using the B scroll bar until they appear again</w:t>
                      </w:r>
                      <w:r w:rsidRPr="00BF1A16">
                        <w:t xml:space="preserve">. </w:t>
                      </w:r>
                    </w:p>
                    <w:p w14:paraId="730C3042" w14:textId="77777777" w:rsidR="000F6815" w:rsidRDefault="000F6815" w:rsidP="000F6815">
                      <w:r>
                        <w:rPr>
                          <w:noProof/>
                        </w:rPr>
                        <w:drawing>
                          <wp:inline distT="0" distB="0" distL="0" distR="0" wp14:anchorId="1F73D94A" wp14:editId="3A63A1AF">
                            <wp:extent cx="2631105" cy="2103120"/>
                            <wp:effectExtent l="0" t="0" r="0" b="0"/>
                            <wp:docPr id="309" name="Picture 309" descr="Screen capture showing greater detail of what may be visible when multiple scroll bars are pres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Picture 309" descr="Screen capture showing greater detail of what may be visible when multiple scroll bars are present"/>
                                    <pic:cNvPicPr/>
                                  </pic:nvPicPr>
                                  <pic:blipFill rotWithShape="1">
                                    <a:blip r:embed="rId23"/>
                                    <a:srcRect l="36218" t="16893"/>
                                    <a:stretch/>
                                  </pic:blipFill>
                                  <pic:spPr bwMode="auto">
                                    <a:xfrm>
                                      <a:off x="0" y="0"/>
                                      <a:ext cx="2631105" cy="2103120"/>
                                    </a:xfrm>
                                    <a:prstGeom prst="rect">
                                      <a:avLst/>
                                    </a:prstGeom>
                                    <a:ln>
                                      <a:noFill/>
                                    </a:ln>
                                    <a:extLst>
                                      <a:ext uri="{53640926-AAD7-44D8-BBD7-CCE9431645EC}">
                                        <a14:shadowObscured xmlns:a14="http://schemas.microsoft.com/office/drawing/2010/main"/>
                                      </a:ext>
                                    </a:extLst>
                                  </pic:spPr>
                                </pic:pic>
                              </a:graphicData>
                            </a:graphic>
                          </wp:inline>
                        </w:drawing>
                      </w:r>
                      <w:r w:rsidRPr="0049399A">
                        <w:t xml:space="preserve">       </w:t>
                      </w:r>
                      <w:r>
                        <w:rPr>
                          <w:noProof/>
                        </w:rPr>
                        <w:drawing>
                          <wp:inline distT="0" distB="0" distL="0" distR="0" wp14:anchorId="1B3E7A16" wp14:editId="46DE6AB8">
                            <wp:extent cx="2765909" cy="2103120"/>
                            <wp:effectExtent l="0" t="0" r="0" b="0"/>
                            <wp:docPr id="310" name="Picture 310" descr="Screen capture showing greater detail of what may be visible when multiple scroll bars are pres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Picture 310" descr="Screen capture showing greater detail of what may be visible when multiple scroll bars are present"/>
                                    <pic:cNvPicPr/>
                                  </pic:nvPicPr>
                                  <pic:blipFill rotWithShape="1">
                                    <a:blip r:embed="rId24"/>
                                    <a:srcRect t="14455" r="30983"/>
                                    <a:stretch/>
                                  </pic:blipFill>
                                  <pic:spPr bwMode="auto">
                                    <a:xfrm>
                                      <a:off x="0" y="0"/>
                                      <a:ext cx="2765909" cy="2103120"/>
                                    </a:xfrm>
                                    <a:prstGeom prst="rect">
                                      <a:avLst/>
                                    </a:prstGeom>
                                    <a:ln>
                                      <a:noFill/>
                                    </a:ln>
                                    <a:extLst>
                                      <a:ext uri="{53640926-AAD7-44D8-BBD7-CCE9431645EC}">
                                        <a14:shadowObscured xmlns:a14="http://schemas.microsoft.com/office/drawing/2010/main"/>
                                      </a:ext>
                                    </a:extLst>
                                  </pic:spPr>
                                </pic:pic>
                              </a:graphicData>
                            </a:graphic>
                          </wp:inline>
                        </w:drawing>
                      </w:r>
                    </w:p>
                  </w:txbxContent>
                </v:textbox>
                <w10:anchorlock/>
              </v:shape>
            </w:pict>
          </mc:Fallback>
        </mc:AlternateContent>
      </w:r>
    </w:p>
    <w:p w14:paraId="36955A59" w14:textId="77777777" w:rsidR="000F6815" w:rsidRPr="00450759" w:rsidRDefault="000F6815" w:rsidP="00911CBD">
      <w:pPr>
        <w:pStyle w:val="Heading1"/>
      </w:pPr>
      <w:bookmarkStart w:id="38" w:name="_Toc99449952"/>
      <w:bookmarkStart w:id="39" w:name="_Toc128041928"/>
      <w:r w:rsidRPr="00450759">
        <w:lastRenderedPageBreak/>
        <w:t>3.</w:t>
      </w:r>
      <w:r w:rsidRPr="00450759">
        <w:tab/>
        <w:t>Configure an Analysis</w:t>
      </w:r>
      <w:bookmarkEnd w:id="38"/>
      <w:bookmarkEnd w:id="39"/>
      <w:r w:rsidRPr="00450759">
        <w:t xml:space="preserve"> </w:t>
      </w:r>
    </w:p>
    <w:p w14:paraId="1AB7C759" w14:textId="77777777" w:rsidR="000F6815" w:rsidRPr="00286D3B" w:rsidRDefault="000F6815" w:rsidP="000F6815">
      <w:pPr>
        <w:pStyle w:val="BodyTextlast"/>
      </w:pPr>
      <w:r w:rsidRPr="00286D3B">
        <w:rPr>
          <w:noProof/>
          <w:lang w:eastAsia="en-US"/>
        </w:rPr>
        <mc:AlternateContent>
          <mc:Choice Requires="wps">
            <w:drawing>
              <wp:anchor distT="0" distB="0" distL="114300" distR="114300" simplePos="0" relativeHeight="251658240" behindDoc="0" locked="0" layoutInCell="1" allowOverlap="1" wp14:anchorId="1D73E035" wp14:editId="72E388CE">
                <wp:simplePos x="0" y="0"/>
                <wp:positionH relativeFrom="column">
                  <wp:posOffset>3511550</wp:posOffset>
                </wp:positionH>
                <wp:positionV relativeFrom="paragraph">
                  <wp:posOffset>46875</wp:posOffset>
                </wp:positionV>
                <wp:extent cx="2374265" cy="1403985"/>
                <wp:effectExtent l="0" t="0" r="22860" b="23495"/>
                <wp:wrapSquare wrapText="bothSides"/>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chemeClr val="accent1">
                            <a:lumMod val="20000"/>
                            <a:lumOff val="80000"/>
                          </a:schemeClr>
                        </a:solidFill>
                        <a:ln w="9525">
                          <a:solidFill>
                            <a:srgbClr val="000000"/>
                          </a:solidFill>
                          <a:miter lim="800000"/>
                          <a:headEnd/>
                          <a:tailEnd/>
                        </a:ln>
                      </wps:spPr>
                      <wps:txbx>
                        <w:txbxContent>
                          <w:p w14:paraId="5DB0EEAE" w14:textId="77777777" w:rsidR="000F6815" w:rsidRDefault="000F6815" w:rsidP="000F6815">
                            <w:pPr>
                              <w:pStyle w:val="Textbox"/>
                            </w:pPr>
                            <w:r w:rsidRPr="00F27615">
                              <w:rPr>
                                <w:b/>
                                <w:bCs/>
                              </w:rPr>
                              <w:t>IMPORTANT!</w:t>
                            </w:r>
                            <w:r w:rsidRPr="00F27615">
                              <w:t xml:space="preserve"> Any configuration changes you make are automatically saved in the underlying database, including </w:t>
                            </w:r>
                            <w:r>
                              <w:t xml:space="preserve">changes to </w:t>
                            </w:r>
                            <w:r w:rsidRPr="00F27615">
                              <w:t xml:space="preserve">selected scenarios, chemicals, </w:t>
                            </w:r>
                            <w:r>
                              <w:t xml:space="preserve">pathways, and </w:t>
                            </w:r>
                            <w:r w:rsidRPr="00F27615">
                              <w:t xml:space="preserve">receptors; and any changes you make to </w:t>
                            </w:r>
                            <w:r>
                              <w:t>any inputs</w:t>
                            </w:r>
                            <w:r w:rsidRPr="00F27615">
                              <w:t>. The next time you run the Tool, those settings will be the starting point for any configuration changes you might then make.</w:t>
                            </w:r>
                            <w:r>
                              <w:t xml:space="preserve"> </w:t>
                            </w:r>
                          </w:p>
                          <w:p w14:paraId="67C1813E" w14:textId="77777777" w:rsidR="000F6815" w:rsidRPr="00F27615" w:rsidRDefault="000F6815" w:rsidP="000F6815">
                            <w:pPr>
                              <w:pStyle w:val="Textbox"/>
                            </w:pPr>
                            <w:r>
                              <w:t xml:space="preserve">See </w:t>
                            </w:r>
                            <w:r w:rsidRPr="00957F6B">
                              <w:rPr>
                                <w:b/>
                                <w:bCs/>
                              </w:rPr>
                              <w:t>Section 5.3</w:t>
                            </w:r>
                            <w:r>
                              <w:t xml:space="preserve"> for a discussion of how to save a version of the Tool with such changes while retaining an original version; you will need to prepare to do this BEFORE you change any configuration values.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1D73E035" id="_x0000_s1028" type="#_x0000_t202" style="position:absolute;margin-left:276.5pt;margin-top:3.7pt;width:186.95pt;height:110.55pt;z-index:25165824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" fillcolor="#d9e2f3 [660]">
                <v:textbox style="mso-fit-shape-to-text:t">
                  <w:txbxContent>
                    <w:p w14:paraId="5DB0EEAE" w14:textId="77777777" w:rsidR="000F6815" w:rsidRDefault="000F6815" w:rsidP="000F6815">
                      <w:pPr>
                        <w:pStyle w:val="Textbox"/>
                      </w:pPr>
                      <w:r w:rsidRPr="00F27615">
                        <w:rPr>
                          <w:b/>
                          <w:bCs/>
                        </w:rPr>
                        <w:t>IMPORTANT!</w:t>
                      </w:r>
                      <w:r w:rsidRPr="00F27615">
                        <w:t xml:space="preserve"> Any configuration changes you make are automatically saved in the underlying database, including </w:t>
                      </w:r>
                      <w:r>
                        <w:t xml:space="preserve">changes to </w:t>
                      </w:r>
                      <w:r w:rsidRPr="00F27615">
                        <w:t xml:space="preserve">selected scenarios, chemicals, </w:t>
                      </w:r>
                      <w:r>
                        <w:t xml:space="preserve">pathways, and </w:t>
                      </w:r>
                      <w:r w:rsidRPr="00F27615">
                        <w:t xml:space="preserve">receptors; and any changes you make to </w:t>
                      </w:r>
                      <w:r>
                        <w:t>any inputs</w:t>
                      </w:r>
                      <w:r w:rsidRPr="00F27615">
                        <w:t>. The next time you run the Tool, those settings will be the starting point for any configuration changes you might then make.</w:t>
                      </w:r>
                      <w:r>
                        <w:t xml:space="preserve"> </w:t>
                      </w:r>
                    </w:p>
                    <w:p w14:paraId="67C1813E" w14:textId="77777777" w:rsidR="000F6815" w:rsidRPr="00F27615" w:rsidRDefault="000F6815" w:rsidP="000F6815">
                      <w:pPr>
                        <w:pStyle w:val="Textbox"/>
                      </w:pPr>
                      <w:r>
                        <w:t xml:space="preserve">See </w:t>
                      </w:r>
                      <w:r w:rsidRPr="00957F6B">
                        <w:rPr>
                          <w:b/>
                          <w:bCs/>
                        </w:rPr>
                        <w:t>Section 5.3</w:t>
                      </w:r>
                      <w:r>
                        <w:t xml:space="preserve"> for a discussion of how to save a version of the Tool with such changes while retaining an original version; you will need to prepare to do this BEFORE you change any configuration values.</w:t>
                      </w:r>
                    </w:p>
                  </w:txbxContent>
                </v:textbox>
                <w10:wrap type="square"/>
              </v:shape>
            </w:pict>
          </mc:Fallback>
        </mc:AlternateContent>
      </w:r>
      <w:r w:rsidRPr="00286D3B">
        <w:t xml:space="preserve">To configure an analysis, click on the </w:t>
      </w:r>
      <w:r w:rsidRPr="00286D3B">
        <w:rPr>
          <w:iCs/>
          <w:smallCaps/>
        </w:rPr>
        <w:t>Configure</w:t>
      </w:r>
      <w:r w:rsidRPr="00286D3B">
        <w:t xml:space="preserve"> button on the </w:t>
      </w:r>
      <w:r w:rsidRPr="00286D3B">
        <w:rPr>
          <w:rStyle w:val="Button"/>
          <w:sz w:val="24"/>
        </w:rPr>
        <w:t>Main Menu</w:t>
      </w:r>
      <w:r w:rsidRPr="00286D3B">
        <w:t xml:space="preserve"> (Figure 5). This will open the </w:t>
      </w:r>
      <w:r w:rsidRPr="00286D3B">
        <w:rPr>
          <w:iCs/>
          <w:smallCaps/>
        </w:rPr>
        <w:t>Configure Model</w:t>
      </w:r>
      <w:r w:rsidRPr="00286D3B">
        <w:t xml:space="preserve"> window, shown in </w:t>
      </w:r>
      <w:r w:rsidRPr="00286D3B">
        <w:rPr>
          <w:b/>
          <w:bCs/>
        </w:rPr>
        <w:t xml:space="preserve">Figure </w:t>
      </w:r>
      <w:r>
        <w:rPr>
          <w:b/>
          <w:bCs/>
        </w:rPr>
        <w:t>7</w:t>
      </w:r>
      <w:r w:rsidRPr="00286D3B">
        <w:t xml:space="preserve">. This window has four tabs on which you can select configuration options and one where you can view the selected inputs. These are described in the rest of this section. It is not necessary to visit all the tabs, only those on which you wish to change configuration options. You can close the </w:t>
      </w:r>
      <w:r w:rsidRPr="00286D3B">
        <w:rPr>
          <w:smallCaps/>
        </w:rPr>
        <w:t>Configure Model</w:t>
      </w:r>
      <w:r w:rsidRPr="00286D3B">
        <w:t xml:space="preserve"> window and return to the </w:t>
      </w:r>
      <w:r w:rsidRPr="00286D3B">
        <w:rPr>
          <w:smallCaps/>
        </w:rPr>
        <w:t>Main Menu</w:t>
      </w:r>
      <w:r w:rsidRPr="00286D3B">
        <w:t xml:space="preserve"> at any time from any of the tabs by clicking the </w:t>
      </w:r>
      <w:r w:rsidRPr="00286D3B">
        <w:rPr>
          <w:smallCaps/>
        </w:rPr>
        <w:t>Close Form</w:t>
      </w:r>
      <w:r w:rsidRPr="00286D3B">
        <w:t xml:space="preserve"> button in the upper right corner of the form or by clicking on the × (close window icon) in the upper right corner of the window (next to the minimize and resize icons). </w:t>
      </w:r>
    </w:p>
    <w:p w14:paraId="176771F5" w14:textId="77777777" w:rsidR="000F6815" w:rsidRPr="00286D3B" w:rsidRDefault="000F6815" w:rsidP="000F6815">
      <w:pPr>
        <w:pStyle w:val="Insertfigure"/>
        <w:rPr>
          <w:szCs w:val="24"/>
        </w:rPr>
      </w:pPr>
      <w:r w:rsidRPr="00286D3B">
        <w:rPr>
          <w:noProof/>
          <w:szCs w:val="24"/>
        </w:rPr>
        <w:drawing>
          <wp:inline distT="0" distB="0" distL="0" distR="0" wp14:anchorId="5299DAB8" wp14:editId="7368AD5E">
            <wp:extent cx="5943600" cy="1875155"/>
            <wp:effectExtent l="0" t="0" r="0" b="0"/>
            <wp:docPr id="12" name="Picture 12" descr="A screen capture of the Configure Model window, showing the descriptive text at the top of the Scenarios tab, along with the controls for selecting a unit type and clim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 capture of the Configure Model window, showing the descriptive text at the top of the Scenarios tab, along with the controls for selecting a unit type and climate."/>
                    <pic:cNvPicPr/>
                  </pic:nvPicPr>
                  <pic:blipFill>
                    <a:blip r:embed="rId25"/>
                    <a:stretch>
                      <a:fillRect/>
                    </a:stretch>
                  </pic:blipFill>
                  <pic:spPr>
                    <a:xfrm>
                      <a:off x="0" y="0"/>
                      <a:ext cx="5943600" cy="1875155"/>
                    </a:xfrm>
                    <a:prstGeom prst="rect">
                      <a:avLst/>
                    </a:prstGeom>
                  </pic:spPr>
                </pic:pic>
              </a:graphicData>
            </a:graphic>
          </wp:inline>
        </w:drawing>
      </w:r>
    </w:p>
    <w:p w14:paraId="768B888F" w14:textId="77777777" w:rsidR="000F6815" w:rsidRPr="00286D3B" w:rsidDel="00001667" w:rsidRDefault="000F6815" w:rsidP="000F6815">
      <w:pPr>
        <w:pStyle w:val="Figurecaption"/>
      </w:pPr>
      <w:bookmarkStart w:id="40" w:name="_Toc92366064"/>
      <w:bookmarkStart w:id="41" w:name="_Toc103854350"/>
      <w:r w:rsidRPr="00286D3B" w:rsidDel="00001667">
        <w:t xml:space="preserve">Figure </w:t>
      </w:r>
      <w:r>
        <w:t>7.</w:t>
      </w:r>
      <w:r w:rsidRPr="00286D3B" w:rsidDel="00001667">
        <w:t xml:space="preserve"> </w:t>
      </w:r>
      <w:r w:rsidRPr="00286D3B" w:rsidDel="00001667">
        <w:rPr>
          <w:iCs/>
          <w:smallCaps/>
        </w:rPr>
        <w:t>Configure Model</w:t>
      </w:r>
      <w:r w:rsidRPr="00286D3B" w:rsidDel="00001667">
        <w:t xml:space="preserve"> window</w:t>
      </w:r>
      <w:r w:rsidRPr="00286D3B">
        <w:t xml:space="preserve">, showing the top of the </w:t>
      </w:r>
      <w:r w:rsidRPr="00286D3B">
        <w:rPr>
          <w:smallCaps/>
        </w:rPr>
        <w:t xml:space="preserve">Scenarios </w:t>
      </w:r>
      <w:r w:rsidRPr="00286D3B">
        <w:t>tab</w:t>
      </w:r>
      <w:r w:rsidRPr="00286D3B" w:rsidDel="00001667">
        <w:t>.</w:t>
      </w:r>
      <w:bookmarkEnd w:id="40"/>
      <w:bookmarkEnd w:id="41"/>
    </w:p>
    <w:p w14:paraId="6202DDDE" w14:textId="77777777" w:rsidR="000F6815" w:rsidRPr="00286D3B" w:rsidRDefault="000F6815" w:rsidP="00911CBD">
      <w:pPr>
        <w:pStyle w:val="Heading2"/>
      </w:pPr>
      <w:bookmarkStart w:id="42" w:name="_Toc99449953"/>
      <w:bookmarkStart w:id="43" w:name="_Toc128041929"/>
      <w:r w:rsidRPr="00286D3B">
        <w:t>3.1</w:t>
      </w:r>
      <w:r w:rsidRPr="00286D3B">
        <w:tab/>
        <w:t>Configure Modeling Scenarios and Site Parameters</w:t>
      </w:r>
      <w:bookmarkEnd w:id="42"/>
      <w:bookmarkEnd w:id="43"/>
    </w:p>
    <w:p w14:paraId="23067AAC" w14:textId="77777777" w:rsidR="000F6815" w:rsidRPr="00286D3B" w:rsidRDefault="000F6815" w:rsidP="000F6815">
      <w:pPr>
        <w:pStyle w:val="BodyText"/>
      </w:pPr>
      <w:r w:rsidRPr="00286D3B">
        <w:t xml:space="preserve">Figure 6 shows the top part of the </w:t>
      </w:r>
      <w:r w:rsidRPr="00286D3B">
        <w:rPr>
          <w:smallCaps/>
        </w:rPr>
        <w:t>Scenarios</w:t>
      </w:r>
      <w:r w:rsidRPr="00286D3B">
        <w:t xml:space="preserve"> tab, where you can select unit types and climate. You can run one or both unit types in a single run. However, only one climate can be selected for a model run and will apply to all selected unit types and scenarios. The default climate is average precipitation, but you can select wet or dry options instead (corresponding to high or low precipitation). </w:t>
      </w:r>
    </w:p>
    <w:p w14:paraId="4A9CD6F9" w14:textId="77777777" w:rsidR="000F6815" w:rsidRPr="00286D3B" w:rsidRDefault="000F6815" w:rsidP="000F6815">
      <w:pPr>
        <w:pStyle w:val="BodyText"/>
      </w:pPr>
      <w:r w:rsidRPr="00286D3B">
        <w:rPr>
          <w:b/>
          <w:bCs/>
        </w:rPr>
        <w:t xml:space="preserve">Figure </w:t>
      </w:r>
      <w:r>
        <w:rPr>
          <w:b/>
          <w:bCs/>
        </w:rPr>
        <w:t>8</w:t>
      </w:r>
      <w:r w:rsidRPr="00286D3B">
        <w:t xml:space="preserve"> shows the bottom portion of the </w:t>
      </w:r>
      <w:r w:rsidRPr="00286D3B">
        <w:rPr>
          <w:smallCaps/>
        </w:rPr>
        <w:t>Scenarios</w:t>
      </w:r>
      <w:r w:rsidRPr="00286D3B">
        <w:t xml:space="preserve"> tab, where you can set additional options for LAUs (top</w:t>
      </w:r>
      <w:r>
        <w:t>, green border</w:t>
      </w:r>
      <w:r w:rsidRPr="00286D3B">
        <w:t>) and surface disposal units (bottom</w:t>
      </w:r>
      <w:r>
        <w:t>, blue border</w:t>
      </w:r>
      <w:r w:rsidRPr="00286D3B">
        <w:t>). If a unit type is not selected at the top of the screen, the controls in the corresponding section of the screen (check boxes, data entry boxes, and buttons) will be greyed out to indicate they are not active. Both unit types are selected in Figure 7. These options are described in the next subsections.</w:t>
      </w:r>
    </w:p>
    <w:p w14:paraId="7DEFFB06" w14:textId="77777777" w:rsidR="000F6815" w:rsidRPr="00286D3B" w:rsidRDefault="000F6815" w:rsidP="000F6815">
      <w:pPr>
        <w:pStyle w:val="Insertfigure"/>
        <w:rPr>
          <w:szCs w:val="24"/>
        </w:rPr>
      </w:pPr>
      <w:r>
        <w:rPr>
          <w:noProof/>
          <w:szCs w:val="24"/>
        </w:rPr>
        <w:lastRenderedPageBreak/>
        <w:drawing>
          <wp:inline distT="0" distB="0" distL="0" distR="0" wp14:anchorId="11CFE35E" wp14:editId="6F523622">
            <wp:extent cx="5943600" cy="3413125"/>
            <wp:effectExtent l="0" t="0" r="0" b="0"/>
            <wp:docPr id="16" name="Picture 1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ext&#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5943600" cy="3413125"/>
                    </a:xfrm>
                    <a:prstGeom prst="rect">
                      <a:avLst/>
                    </a:prstGeom>
                  </pic:spPr>
                </pic:pic>
              </a:graphicData>
            </a:graphic>
          </wp:inline>
        </w:drawing>
      </w:r>
      <w:r w:rsidRPr="00286D3B" w:rsidDel="00001667">
        <w:rPr>
          <w:szCs w:val="24"/>
        </w:rPr>
        <w:t xml:space="preserve"> </w:t>
      </w:r>
    </w:p>
    <w:p w14:paraId="7A7E1CF2" w14:textId="77777777" w:rsidR="000F6815" w:rsidRPr="00286D3B" w:rsidDel="00001667" w:rsidRDefault="000F6815" w:rsidP="000F6815">
      <w:pPr>
        <w:pStyle w:val="Figurecaption"/>
      </w:pPr>
      <w:bookmarkStart w:id="44" w:name="_Toc92366065"/>
      <w:bookmarkStart w:id="45" w:name="_Toc103854351"/>
      <w:r w:rsidRPr="00286D3B" w:rsidDel="00001667">
        <w:t xml:space="preserve">Figure </w:t>
      </w:r>
      <w:r>
        <w:t>8</w:t>
      </w:r>
      <w:r w:rsidRPr="00286D3B" w:rsidDel="00001667">
        <w:t xml:space="preserve">. </w:t>
      </w:r>
      <w:r w:rsidRPr="00286D3B" w:rsidDel="00001667">
        <w:rPr>
          <w:iCs/>
          <w:smallCaps/>
        </w:rPr>
        <w:t xml:space="preserve">Configure </w:t>
      </w:r>
      <w:r w:rsidRPr="00A83DAA" w:rsidDel="00001667">
        <w:t>Model</w:t>
      </w:r>
      <w:r w:rsidRPr="00286D3B" w:rsidDel="00001667">
        <w:t xml:space="preserve"> window</w:t>
      </w:r>
      <w:r w:rsidRPr="00286D3B">
        <w:t xml:space="preserve">, showing the bottom of the </w:t>
      </w:r>
      <w:r w:rsidRPr="00286D3B">
        <w:rPr>
          <w:smallCaps/>
        </w:rPr>
        <w:t xml:space="preserve">Scenarios </w:t>
      </w:r>
      <w:r w:rsidRPr="00286D3B">
        <w:t xml:space="preserve">tab </w:t>
      </w:r>
      <w:r w:rsidRPr="00286D3B">
        <w:br/>
        <w:t>with both LAU and surface disposal selected</w:t>
      </w:r>
      <w:r w:rsidRPr="00286D3B" w:rsidDel="00001667">
        <w:t>.</w:t>
      </w:r>
      <w:bookmarkEnd w:id="44"/>
      <w:bookmarkEnd w:id="45"/>
    </w:p>
    <w:p w14:paraId="53297536" w14:textId="77777777" w:rsidR="000F6815" w:rsidRPr="00286D3B" w:rsidRDefault="000F6815" w:rsidP="00911CBD">
      <w:pPr>
        <w:pStyle w:val="Heading3"/>
      </w:pPr>
      <w:bookmarkStart w:id="46" w:name="_Toc99449954"/>
      <w:bookmarkStart w:id="47" w:name="_Toc128041930"/>
      <w:r w:rsidRPr="00286D3B">
        <w:t>3.1.1</w:t>
      </w:r>
      <w:r w:rsidRPr="00286D3B">
        <w:tab/>
        <w:t>Configure an LAU</w:t>
      </w:r>
      <w:bookmarkEnd w:id="46"/>
      <w:bookmarkEnd w:id="47"/>
    </w:p>
    <w:p w14:paraId="788277D9" w14:textId="77777777" w:rsidR="000F6815" w:rsidRPr="00286D3B" w:rsidRDefault="000F6815" w:rsidP="000F6815">
      <w:pPr>
        <w:pStyle w:val="BodyText"/>
      </w:pPr>
      <w:r w:rsidRPr="00286D3B">
        <w:t>For the LAU, you can set the solids content of biosolids, select application scenarios, and set the dry application rate for each scenario.</w:t>
      </w:r>
    </w:p>
    <w:p w14:paraId="403CBADD" w14:textId="77777777" w:rsidR="000F6815" w:rsidRPr="00286D3B" w:rsidRDefault="000F6815" w:rsidP="000F6815">
      <w:pPr>
        <w:pStyle w:val="BodyText"/>
      </w:pPr>
      <w:r w:rsidRPr="00286D3B">
        <w:t xml:space="preserve">The default solids content of biosolids is 40%. You can change this to any value between 5 and 50% by clicking in the text box and entering the desired value. This will change the reference for this parameter to “User Supplied.” While you can later change the value back to 40%, the reference will remain “User supplied” unless you click on the </w:t>
      </w:r>
      <w:r w:rsidRPr="00286D3B">
        <w:rPr>
          <w:smallCaps/>
        </w:rPr>
        <w:t>Reset % Solids to Default</w:t>
      </w:r>
      <w:r w:rsidRPr="00286D3B">
        <w:t xml:space="preserve"> button (which sets the value to 40% and restores the original reference for that value). The model is insensitive to changes in percent solids, as it is used only to estimate the incremental infiltration due to the water content of the biosolids. This value will be applied to all scenarios for the LAU, but does not affect the surface disposal unit, which defaults to 10% solids and cannot be modified.</w:t>
      </w:r>
    </w:p>
    <w:p w14:paraId="74D99403" w14:textId="77777777" w:rsidR="000F6815" w:rsidRPr="00286D3B" w:rsidRDefault="000F6815" w:rsidP="000F6815">
      <w:pPr>
        <w:pStyle w:val="BodyText"/>
      </w:pPr>
      <w:r w:rsidRPr="00286D3B">
        <w:t xml:space="preserve">Select or deselect application scenarios to run by clicking the check box to the left of each one. In Figure 7, Crop and Pasture are selected. Clicking an empty check box selects the scenario and clicking a checked check box deselects it. You can select as many as you want, but you must select at least one. The scenarios are described in </w:t>
      </w:r>
      <w:r w:rsidRPr="00286D3B">
        <w:rPr>
          <w:b/>
          <w:bCs/>
        </w:rPr>
        <w:t>Section 1</w:t>
      </w:r>
      <w:r w:rsidRPr="00286D3B">
        <w:t>.</w:t>
      </w:r>
    </w:p>
    <w:p w14:paraId="5A102E39" w14:textId="77777777" w:rsidR="000F6815" w:rsidRPr="00286D3B" w:rsidRDefault="000F6815" w:rsidP="000F6815">
      <w:pPr>
        <w:pStyle w:val="BodyText"/>
      </w:pPr>
      <w:r w:rsidRPr="00286D3B">
        <w:t xml:space="preserve">Set the dry application rate for each selected scenario. </w:t>
      </w:r>
      <w:r>
        <w:t>T</w:t>
      </w:r>
      <w:r w:rsidRPr="00286D3B">
        <w:t>he default</w:t>
      </w:r>
      <w:r>
        <w:t>s</w:t>
      </w:r>
      <w:r w:rsidRPr="00286D3B">
        <w:t xml:space="preserve"> </w:t>
      </w:r>
      <w:r>
        <w:t>are</w:t>
      </w:r>
      <w:r w:rsidRPr="00286D3B">
        <w:t xml:space="preserve"> 10 MT dry/ha-appl</w:t>
      </w:r>
      <w:r>
        <w:t xml:space="preserve"> for crop and pasture and 5</w:t>
      </w:r>
      <w:r w:rsidRPr="00286D3B">
        <w:t>0 MT dry/ha-appl</w:t>
      </w:r>
      <w:r>
        <w:t xml:space="preserve"> for reclamation</w:t>
      </w:r>
      <w:r w:rsidRPr="00286D3B">
        <w:t xml:space="preserve">, but </w:t>
      </w:r>
      <w:r>
        <w:t>these</w:t>
      </w:r>
      <w:r w:rsidRPr="00286D3B">
        <w:t xml:space="preserve"> can be changed </w:t>
      </w:r>
      <w:r>
        <w:t>if you have site- or scenario-specific values</w:t>
      </w:r>
      <w:r w:rsidRPr="00286D3B">
        <w:t>. Regardless of the dry application rate you set, biosolids will be applied at that rate once a year on April 1 for 40 years (for crop and pasture) or one time (for reclamation).</w:t>
      </w:r>
      <w:r w:rsidRPr="00444659">
        <w:t xml:space="preserve"> </w:t>
      </w:r>
      <w:r>
        <w:t xml:space="preserve">The </w:t>
      </w:r>
      <w:r w:rsidRPr="00421049">
        <w:rPr>
          <w:smallCaps/>
        </w:rPr>
        <w:t xml:space="preserve">Reset </w:t>
      </w:r>
      <w:r>
        <w:rPr>
          <w:smallCaps/>
        </w:rPr>
        <w:t>Application Rates</w:t>
      </w:r>
      <w:r w:rsidRPr="00421049">
        <w:rPr>
          <w:smallCaps/>
        </w:rPr>
        <w:t xml:space="preserve"> to Default</w:t>
      </w:r>
      <w:r>
        <w:rPr>
          <w:smallCaps/>
        </w:rPr>
        <w:t>s</w:t>
      </w:r>
      <w:r>
        <w:t xml:space="preserve"> button to the right of the application rates can be used to reset the values to the defaults.</w:t>
      </w:r>
    </w:p>
    <w:p w14:paraId="39CA39B8" w14:textId="77777777" w:rsidR="000F6815" w:rsidRPr="00911CBD" w:rsidRDefault="000F6815" w:rsidP="00911CBD">
      <w:pPr>
        <w:pStyle w:val="Heading3"/>
      </w:pPr>
      <w:bookmarkStart w:id="48" w:name="_Toc99449955"/>
      <w:bookmarkStart w:id="49" w:name="_Toc128041931"/>
      <w:r w:rsidRPr="00911CBD">
        <w:lastRenderedPageBreak/>
        <w:t>3.1.2</w:t>
      </w:r>
      <w:r w:rsidRPr="00911CBD">
        <w:tab/>
        <w:t>Configure a Surface Disposal Unit</w:t>
      </w:r>
      <w:bookmarkEnd w:id="48"/>
      <w:bookmarkEnd w:id="49"/>
    </w:p>
    <w:p w14:paraId="1E1508BC" w14:textId="77777777" w:rsidR="000F6815" w:rsidRPr="00286D3B" w:rsidRDefault="000F6815" w:rsidP="000F6815">
      <w:pPr>
        <w:pStyle w:val="BodyText"/>
      </w:pPr>
      <w:r w:rsidRPr="00286D3B">
        <w:t>The only option here is liner type. You can run one, two, or all three in a single run, but at least one must be selected. As noted above, the surface disposal unit uses a percent solids</w:t>
      </w:r>
      <w:r>
        <w:t xml:space="preserve"> value</w:t>
      </w:r>
      <w:r w:rsidRPr="00286D3B">
        <w:t xml:space="preserve"> of 10% for the biosolids (regardless of the value entered for land-applied biosolids), and this cannot be modified.</w:t>
      </w:r>
    </w:p>
    <w:p w14:paraId="27FCD350" w14:textId="77777777" w:rsidR="000F6815" w:rsidRPr="00286D3B" w:rsidRDefault="000F6815" w:rsidP="00911CBD">
      <w:pPr>
        <w:pStyle w:val="Heading2"/>
      </w:pPr>
      <w:bookmarkStart w:id="50" w:name="_Toc99449956"/>
      <w:bookmarkStart w:id="51" w:name="_Toc128041932"/>
      <w:r w:rsidRPr="00286D3B">
        <w:t>3.2</w:t>
      </w:r>
      <w:r w:rsidRPr="00286D3B">
        <w:tab/>
      </w:r>
      <w:r w:rsidRPr="00E5032D">
        <w:t>Configure</w:t>
      </w:r>
      <w:r w:rsidRPr="00286D3B">
        <w:t xml:space="preserve"> Chemicals</w:t>
      </w:r>
      <w:bookmarkEnd w:id="50"/>
      <w:bookmarkEnd w:id="51"/>
    </w:p>
    <w:p w14:paraId="294374B0" w14:textId="77777777" w:rsidR="000F6815" w:rsidRPr="00286D3B" w:rsidRDefault="000F6815" w:rsidP="000F6815">
      <w:pPr>
        <w:pStyle w:val="BodyTextlast"/>
      </w:pPr>
      <w:r w:rsidRPr="00286D3B">
        <w:rPr>
          <w:b/>
          <w:bCs/>
        </w:rPr>
        <w:t xml:space="preserve">Figure </w:t>
      </w:r>
      <w:r>
        <w:rPr>
          <w:b/>
          <w:bCs/>
        </w:rPr>
        <w:t>9</w:t>
      </w:r>
      <w:r w:rsidRPr="00286D3B">
        <w:t xml:space="preserve"> shows the </w:t>
      </w:r>
      <w:r w:rsidRPr="00286D3B">
        <w:rPr>
          <w:smallCaps/>
        </w:rPr>
        <w:t>Chemicals</w:t>
      </w:r>
      <w:r w:rsidRPr="00286D3B">
        <w:t xml:space="preserve"> tab. The pane on the left side of the screen provides various options that operate on all the chemicals or the selected chemicals; these include buttons to change the sort order, select or deselect a batch of chemicals, add new chemicals, and compare chemical properties. </w:t>
      </w:r>
    </w:p>
    <w:p w14:paraId="1BE04880" w14:textId="67421018" w:rsidR="000F6815" w:rsidRPr="00286D3B" w:rsidRDefault="003B5BED" w:rsidP="000F6815">
      <w:pPr>
        <w:pStyle w:val="Insertfigure"/>
        <w:rPr>
          <w:b/>
          <w:bCs/>
          <w:szCs w:val="24"/>
        </w:rPr>
      </w:pPr>
      <w:r>
        <w:rPr>
          <w:b/>
          <w:bCs/>
          <w:noProof/>
          <w:szCs w:val="24"/>
        </w:rPr>
        <w:drawing>
          <wp:inline distT="0" distB="0" distL="0" distR="0" wp14:anchorId="6C704494" wp14:editId="02F9D3E7">
            <wp:extent cx="5943600" cy="4298315"/>
            <wp:effectExtent l="0" t="0" r="0" b="6985"/>
            <wp:docPr id="20" name="Picture 20" descr="Graphical user interface,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application, email&#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5943600" cy="4298315"/>
                    </a:xfrm>
                    <a:prstGeom prst="rect">
                      <a:avLst/>
                    </a:prstGeom>
                  </pic:spPr>
                </pic:pic>
              </a:graphicData>
            </a:graphic>
          </wp:inline>
        </w:drawing>
      </w:r>
    </w:p>
    <w:p w14:paraId="064A11B2" w14:textId="77777777" w:rsidR="000F6815" w:rsidRPr="00286D3B" w:rsidDel="00001667" w:rsidRDefault="000F6815" w:rsidP="000F6815">
      <w:pPr>
        <w:pStyle w:val="Figurecaption"/>
      </w:pPr>
      <w:bookmarkStart w:id="52" w:name="_Toc92366066"/>
      <w:bookmarkStart w:id="53" w:name="_Toc103854352"/>
      <w:r w:rsidRPr="00286D3B" w:rsidDel="00001667">
        <w:t xml:space="preserve">Figure </w:t>
      </w:r>
      <w:r>
        <w:t>9</w:t>
      </w:r>
      <w:r w:rsidRPr="00286D3B" w:rsidDel="00001667">
        <w:t xml:space="preserve">. </w:t>
      </w:r>
      <w:r w:rsidRPr="00A83DAA" w:rsidDel="00001667">
        <w:t>Chemicals</w:t>
      </w:r>
      <w:r w:rsidRPr="00286D3B" w:rsidDel="00001667">
        <w:t xml:space="preserve"> tab: select chemicals, </w:t>
      </w:r>
      <w:proofErr w:type="gramStart"/>
      <w:r w:rsidRPr="00286D3B" w:rsidDel="00001667">
        <w:t>view</w:t>
      </w:r>
      <w:proofErr w:type="gramEnd"/>
      <w:r w:rsidRPr="00286D3B" w:rsidDel="00001667">
        <w:t xml:space="preserve"> and modify properties, </w:t>
      </w:r>
      <w:r w:rsidRPr="00286D3B" w:rsidDel="00001667">
        <w:br/>
        <w:t>add new chemicals, and compare properties.</w:t>
      </w:r>
      <w:bookmarkEnd w:id="52"/>
      <w:bookmarkEnd w:id="53"/>
      <w:r w:rsidRPr="00286D3B" w:rsidDel="00001667">
        <w:t xml:space="preserve"> </w:t>
      </w:r>
    </w:p>
    <w:p w14:paraId="6295A02B" w14:textId="1AAE361F" w:rsidR="000F6815" w:rsidRPr="00286D3B" w:rsidRDefault="000F6815" w:rsidP="000F6815">
      <w:pPr>
        <w:pStyle w:val="BodyText"/>
      </w:pPr>
      <w:r w:rsidRPr="00286D3B">
        <w:t xml:space="preserve">The main part of the screen, at right, provides descriptive information on the available chemicals (CAS number, chemical name, and a </w:t>
      </w:r>
      <w:r w:rsidR="001A3062">
        <w:t>‘</w:t>
      </w:r>
      <w:r w:rsidRPr="00286D3B">
        <w:t>user added</w:t>
      </w:r>
      <w:r w:rsidR="001A3062">
        <w:t>’</w:t>
      </w:r>
      <w:r w:rsidRPr="00286D3B">
        <w:t xml:space="preserve"> indicator) and two chemical-specific controls: a selection box (to the left of the CAS number) and a </w:t>
      </w:r>
      <w:r w:rsidRPr="00286D3B">
        <w:rPr>
          <w:smallCaps/>
        </w:rPr>
        <w:t>View/Edit/Delete</w:t>
      </w:r>
      <w:r w:rsidRPr="00286D3B">
        <w:t xml:space="preserve"> button (far right) that brings up the </w:t>
      </w:r>
      <w:r w:rsidRPr="00286D3B">
        <w:rPr>
          <w:smallCaps/>
        </w:rPr>
        <w:t>Chemical Properties</w:t>
      </w:r>
      <w:r w:rsidRPr="00286D3B">
        <w:t xml:space="preserve"> screen for that chemical, where you can view and edit the chemical-specific data (built-in and user-added chemicals), reset modified values to defaults (built-in chemicals only), and delete chemicals (user-added only). You can also reset any user-</w:t>
      </w:r>
      <w:r w:rsidRPr="00286D3B">
        <w:lastRenderedPageBreak/>
        <w:t xml:space="preserve">modified chemical properties for all built-in chemicals at once by clicking on the </w:t>
      </w:r>
      <w:r w:rsidRPr="00286D3B">
        <w:rPr>
          <w:rStyle w:val="Button"/>
          <w:sz w:val="24"/>
        </w:rPr>
        <w:t xml:space="preserve">Reset All Chemical Properties to Default Values </w:t>
      </w:r>
      <w:r w:rsidRPr="00286D3B">
        <w:t>button at the top of the tab. Note this will have no effect on user-added chemicals: those values will not be changed, nor will the user-added chemicals be deleted.</w:t>
      </w:r>
    </w:p>
    <w:p w14:paraId="212E8EE7" w14:textId="77777777" w:rsidR="000F6815" w:rsidRPr="00286D3B" w:rsidRDefault="000F6815" w:rsidP="00911CBD">
      <w:pPr>
        <w:pStyle w:val="Heading3"/>
        <w:rPr>
          <w:lang w:val="en-US"/>
        </w:rPr>
      </w:pPr>
      <w:bookmarkStart w:id="54" w:name="_Toc99449957"/>
      <w:bookmarkStart w:id="55" w:name="_Toc128041933"/>
      <w:r w:rsidRPr="00286D3B">
        <w:t>3.2.1</w:t>
      </w:r>
      <w:r w:rsidRPr="00286D3B">
        <w:tab/>
        <w:t xml:space="preserve">Select </w:t>
      </w:r>
      <w:r w:rsidRPr="00E5032D">
        <w:t>Chemicals</w:t>
      </w:r>
      <w:r w:rsidRPr="00286D3B">
        <w:t xml:space="preserve"> to Include in </w:t>
      </w:r>
      <w:r w:rsidRPr="00286D3B">
        <w:rPr>
          <w:lang w:val="en-US"/>
        </w:rPr>
        <w:t>a Simulation</w:t>
      </w:r>
      <w:bookmarkEnd w:id="54"/>
      <w:bookmarkEnd w:id="55"/>
    </w:p>
    <w:p w14:paraId="122D025F" w14:textId="77777777" w:rsidR="000F6815" w:rsidRPr="00286D3B" w:rsidRDefault="000F6815" w:rsidP="000F6815">
      <w:pPr>
        <w:pStyle w:val="BodyText"/>
      </w:pPr>
      <w:r w:rsidRPr="00286D3B">
        <w:t xml:space="preserve">To include a chemical in a simulation, use the scroll bar immediately to the right of the column of </w:t>
      </w:r>
      <w:r w:rsidRPr="00286D3B">
        <w:rPr>
          <w:smallCaps/>
        </w:rPr>
        <w:t>View/Edit/Delete</w:t>
      </w:r>
      <w:r w:rsidRPr="00286D3B">
        <w:t xml:space="preserve"> buttons to scroll through the list of chemicals and find the desired one. Click on the check box under “Select Chemical(s)” to the left of the CAS number. If the box is checked, the chemical has been selected. Click on the checkbox again to deselect it. </w:t>
      </w:r>
    </w:p>
    <w:p w14:paraId="63C0B0CE" w14:textId="77777777" w:rsidR="000F6815" w:rsidRPr="00286D3B" w:rsidRDefault="000F6815" w:rsidP="000F6815">
      <w:pPr>
        <w:pStyle w:val="BodyText"/>
      </w:pPr>
      <w:r w:rsidRPr="00286D3B">
        <w:t xml:space="preserve">The chemical list can be sorted by CAS number or chemical name, as you prefer, using the </w:t>
      </w:r>
      <w:r w:rsidRPr="00286D3B">
        <w:rPr>
          <w:rStyle w:val="Button"/>
          <w:sz w:val="24"/>
        </w:rPr>
        <w:t>CAS</w:t>
      </w:r>
      <w:r w:rsidRPr="00286D3B">
        <w:t xml:space="preserve"> and </w:t>
      </w:r>
      <w:r w:rsidRPr="00286D3B">
        <w:rPr>
          <w:rStyle w:val="Button"/>
          <w:sz w:val="24"/>
        </w:rPr>
        <w:t>Name</w:t>
      </w:r>
      <w:r w:rsidRPr="00286D3B">
        <w:t xml:space="preserve"> buttons at the top of the left pane. Chemical names that start with a number are sorted on the first letters, and the number prefix is shown at the end</w:t>
      </w:r>
      <w:r>
        <w:t>.</w:t>
      </w:r>
    </w:p>
    <w:p w14:paraId="724BB4D0" w14:textId="77777777" w:rsidR="000F6815" w:rsidRPr="00286D3B" w:rsidRDefault="000F6815" w:rsidP="000F6815">
      <w:pPr>
        <w:pStyle w:val="BodyText"/>
      </w:pPr>
      <w:r w:rsidRPr="00286D3B">
        <w:t xml:space="preserve">If you plan to include all or many of the chemicals available in your run, use the </w:t>
      </w:r>
      <w:r w:rsidRPr="00286D3B">
        <w:rPr>
          <w:smallCaps/>
        </w:rPr>
        <w:t>Select Chemicals for Simulation By Type</w:t>
      </w:r>
      <w:r w:rsidRPr="00286D3B">
        <w:t xml:space="preserve"> buttons in the middle of the left pane. Click on </w:t>
      </w:r>
      <w:r w:rsidRPr="00286D3B">
        <w:rPr>
          <w:smallCaps/>
        </w:rPr>
        <w:t>Select All Organics</w:t>
      </w:r>
      <w:r w:rsidRPr="00286D3B">
        <w:t xml:space="preserve"> to select all chemicals designated as organics (without deselecting anything first</w:t>
      </w:r>
      <w:proofErr w:type="gramStart"/>
      <w:r w:rsidRPr="00286D3B">
        <w:t>), and</w:t>
      </w:r>
      <w:proofErr w:type="gramEnd"/>
      <w:r w:rsidRPr="00286D3B">
        <w:t xml:space="preserve"> </w:t>
      </w:r>
      <w:r w:rsidRPr="00286D3B">
        <w:rPr>
          <w:smallCaps/>
        </w:rPr>
        <w:t>Select All Metals</w:t>
      </w:r>
      <w:r w:rsidRPr="00286D3B">
        <w:t xml:space="preserve"> to select all inorganics (also without deselecting anything first). Used in succession, these two buttons will select all chemicals. From there, you can individually deselect any you do not wish to run. Conversely, if you want to run just a few chemicals, use the </w:t>
      </w:r>
      <w:r w:rsidRPr="00286D3B">
        <w:rPr>
          <w:smallCaps/>
        </w:rPr>
        <w:t>Deselect All Chemicals</w:t>
      </w:r>
      <w:r w:rsidRPr="00286D3B">
        <w:t xml:space="preserve"> button, and then select those you want to run individually. </w:t>
      </w:r>
    </w:p>
    <w:p w14:paraId="5D647191" w14:textId="77777777" w:rsidR="000F6815" w:rsidRPr="00286D3B" w:rsidRDefault="000F6815" w:rsidP="00911CBD">
      <w:pPr>
        <w:pStyle w:val="Heading3"/>
        <w:rPr>
          <w:lang w:val="en-US"/>
        </w:rPr>
      </w:pPr>
      <w:bookmarkStart w:id="56" w:name="_Toc99449958"/>
      <w:bookmarkStart w:id="57" w:name="_Hlk92364498"/>
      <w:bookmarkStart w:id="58" w:name="_Toc128041934"/>
      <w:r w:rsidRPr="00286D3B">
        <w:rPr>
          <w:lang w:val="en-US"/>
        </w:rPr>
        <w:t>3.2</w:t>
      </w:r>
      <w:r w:rsidRPr="00286D3B">
        <w:t>.</w:t>
      </w:r>
      <w:r w:rsidRPr="00286D3B">
        <w:rPr>
          <w:lang w:val="en-US"/>
        </w:rPr>
        <w:t>2</w:t>
      </w:r>
      <w:r w:rsidRPr="00286D3B">
        <w:rPr>
          <w:lang w:val="en-US"/>
        </w:rPr>
        <w:tab/>
      </w:r>
      <w:r w:rsidRPr="00286D3B">
        <w:t xml:space="preserve">Add New </w:t>
      </w:r>
      <w:r w:rsidRPr="00E5032D">
        <w:t>Chemicals</w:t>
      </w:r>
      <w:bookmarkEnd w:id="56"/>
      <w:bookmarkEnd w:id="58"/>
    </w:p>
    <w:bookmarkEnd w:id="57"/>
    <w:p w14:paraId="7165B7FE" w14:textId="77777777" w:rsidR="000F6815" w:rsidRPr="00286D3B" w:rsidRDefault="000F6815" w:rsidP="000F6815">
      <w:pPr>
        <w:pStyle w:val="BodyText"/>
      </w:pPr>
      <w:r w:rsidRPr="00286D3B">
        <w:t>As mentioned in</w:t>
      </w:r>
      <w:r w:rsidRPr="00286D3B">
        <w:rPr>
          <w:b/>
          <w:bCs/>
        </w:rPr>
        <w:t xml:space="preserve"> Section 1.1</w:t>
      </w:r>
      <w:r w:rsidRPr="00286D3B">
        <w:t xml:space="preserve">, the Tool is preloaded with data for some chemicals. You can add additional chemicals to the Tool to supplement the chemicals provided by clicking on the </w:t>
      </w:r>
      <w:r w:rsidRPr="00286D3B">
        <w:rPr>
          <w:smallCaps/>
        </w:rPr>
        <w:t>Add New Chemical</w:t>
      </w:r>
      <w:r w:rsidRPr="00286D3B">
        <w:rPr>
          <w:i/>
          <w:iCs/>
        </w:rPr>
        <w:t xml:space="preserve"> </w:t>
      </w:r>
      <w:r w:rsidRPr="00286D3B">
        <w:t xml:space="preserve">button in the lower middle of the left pane of the </w:t>
      </w:r>
      <w:r w:rsidRPr="00286D3B">
        <w:rPr>
          <w:rStyle w:val="Button"/>
          <w:sz w:val="24"/>
        </w:rPr>
        <w:t>Chemicals</w:t>
      </w:r>
      <w:r w:rsidRPr="00286D3B">
        <w:t xml:space="preserve"> tab (Figure 8). To reduce the burden of entering new chemicals, the </w:t>
      </w:r>
      <w:r w:rsidRPr="00286D3B">
        <w:rPr>
          <w:rStyle w:val="Button"/>
          <w:sz w:val="24"/>
        </w:rPr>
        <w:t>Add New Chemical</w:t>
      </w:r>
      <w:r w:rsidRPr="00286D3B">
        <w:t xml:space="preserve"> forms include only the minimum set of chemical-specific parameters required, omitting others that can be calculated from these required properties (e.g., animal and plant bioconcentration factors from log K</w:t>
      </w:r>
      <w:r w:rsidRPr="00286D3B">
        <w:rPr>
          <w:vertAlign w:val="subscript"/>
        </w:rPr>
        <w:t>ow</w:t>
      </w:r>
      <w:r w:rsidRPr="00286D3B">
        <w:t xml:space="preserve"> for organics) or reasonably set to a conservative default (e.g., aquatic degradation rates). Once you have added a new chemical, you will have a chance later to edit any default values.</w:t>
      </w:r>
    </w:p>
    <w:p w14:paraId="66506FD3" w14:textId="77777777" w:rsidR="000F6815" w:rsidRPr="00286D3B" w:rsidRDefault="000F6815" w:rsidP="000F6815">
      <w:pPr>
        <w:pStyle w:val="BodyText"/>
      </w:pPr>
      <w:r w:rsidRPr="00286D3B">
        <w:t>The inputs differ somewhat for organics and inorganics; therefore, you will be asked which type of chemical you want to enter (</w:t>
      </w:r>
      <w:r w:rsidRPr="00286D3B">
        <w:rPr>
          <w:rStyle w:val="Button"/>
          <w:sz w:val="24"/>
        </w:rPr>
        <w:t>Select New Chemical Type</w:t>
      </w:r>
      <w:r w:rsidRPr="00286D3B">
        <w:t xml:space="preserve"> window). Click on the appropriate button (or </w:t>
      </w:r>
      <w:r w:rsidRPr="00286D3B">
        <w:rPr>
          <w:smallCaps/>
        </w:rPr>
        <w:t>Close Form</w:t>
      </w:r>
      <w:r w:rsidRPr="00286D3B">
        <w:t xml:space="preserve"> to cancel and return to the </w:t>
      </w:r>
      <w:r w:rsidRPr="00286D3B">
        <w:rPr>
          <w:smallCaps/>
        </w:rPr>
        <w:t>Chemicals</w:t>
      </w:r>
      <w:r w:rsidRPr="00286D3B">
        <w:t xml:space="preserve"> tab). </w:t>
      </w:r>
      <w:r w:rsidRPr="00286D3B">
        <w:rPr>
          <w:b/>
          <w:bCs/>
        </w:rPr>
        <w:t xml:space="preserve">Figures </w:t>
      </w:r>
      <w:r>
        <w:rPr>
          <w:b/>
          <w:bCs/>
        </w:rPr>
        <w:t>10</w:t>
      </w:r>
      <w:r w:rsidRPr="00286D3B">
        <w:t xml:space="preserve"> and </w:t>
      </w:r>
      <w:r w:rsidRPr="00286D3B">
        <w:rPr>
          <w:b/>
          <w:bCs/>
        </w:rPr>
        <w:t>1</w:t>
      </w:r>
      <w:r>
        <w:rPr>
          <w:b/>
          <w:bCs/>
        </w:rPr>
        <w:t>1</w:t>
      </w:r>
      <w:r w:rsidRPr="00286D3B">
        <w:t xml:space="preserve"> show the entry screens for organics and inorganics, respectively (note that the entire screen as shown in the figures does not all show at once in the Tool; use the vertical scroll bar to see all inputs). </w:t>
      </w:r>
    </w:p>
    <w:p w14:paraId="36DEE8DD" w14:textId="77777777" w:rsidR="000F6815" w:rsidRPr="00286D3B" w:rsidRDefault="000F6815" w:rsidP="000F6815">
      <w:pPr>
        <w:pStyle w:val="BodyText"/>
      </w:pPr>
      <w:r w:rsidRPr="00286D3B">
        <w:t xml:space="preserve">A brief discussion of each of the inputs follows the figures; </w:t>
      </w:r>
      <w:r w:rsidRPr="00286D3B">
        <w:rPr>
          <w:b/>
          <w:bCs/>
        </w:rPr>
        <w:t>Appendix C</w:t>
      </w:r>
      <w:r w:rsidRPr="00286D3B">
        <w:t xml:space="preserve"> provides a thorough explanation of the data required, sources for these data, and estimation methods for all chemical-specific parameters, both those on the </w:t>
      </w:r>
      <w:r w:rsidRPr="00286D3B">
        <w:rPr>
          <w:smallCaps/>
        </w:rPr>
        <w:t>Add New Chemical</w:t>
      </w:r>
      <w:r w:rsidRPr="00286D3B">
        <w:t xml:space="preserve"> forms and those omitted from them.</w:t>
      </w:r>
    </w:p>
    <w:p w14:paraId="20983FC0" w14:textId="77777777" w:rsidR="000F6815" w:rsidRPr="00286D3B" w:rsidRDefault="000F6815" w:rsidP="000F6815">
      <w:pPr>
        <w:pStyle w:val="BodyTextlast"/>
      </w:pPr>
      <w:r w:rsidRPr="00286D3B">
        <w:rPr>
          <w:noProof/>
          <w:lang w:eastAsia="en-US"/>
        </w:rPr>
        <mc:AlternateContent>
          <mc:Choice Requires="wps">
            <w:drawing>
              <wp:inline distT="0" distB="0" distL="0" distR="0" wp14:anchorId="3B6F6214" wp14:editId="37795307">
                <wp:extent cx="5943600" cy="1755648"/>
                <wp:effectExtent l="0" t="0" r="19050" b="23495"/>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55648"/>
                        </a:xfrm>
                        <a:prstGeom prst="rect">
                          <a:avLst/>
                        </a:prstGeom>
                        <a:solidFill>
                          <a:schemeClr val="accent1">
                            <a:lumMod val="20000"/>
                            <a:lumOff val="80000"/>
                          </a:schemeClr>
                        </a:solidFill>
                        <a:ln w="9525">
                          <a:solidFill>
                            <a:srgbClr val="000000"/>
                          </a:solidFill>
                          <a:miter lim="800000"/>
                          <a:headEnd/>
                          <a:tailEnd/>
                        </a:ln>
                      </wps:spPr>
                      <wps:txbx>
                        <w:txbxContent>
                          <w:p w14:paraId="53579D04" w14:textId="77777777" w:rsidR="000F6815" w:rsidRPr="002E5174" w:rsidRDefault="000F6815" w:rsidP="000F6815">
                            <w:pPr>
                              <w:pStyle w:val="Textbox"/>
                              <w:jc w:val="center"/>
                              <w:rPr>
                                <w:b/>
                                <w:bCs/>
                              </w:rPr>
                            </w:pPr>
                            <w:r w:rsidRPr="002E5174">
                              <w:rPr>
                                <w:b/>
                                <w:bCs/>
                              </w:rPr>
                              <w:t xml:space="preserve">Chemical Limitations of </w:t>
                            </w:r>
                            <w:r>
                              <w:rPr>
                                <w:b/>
                                <w:bCs/>
                              </w:rPr>
                              <w:t>the Biosolids Tool</w:t>
                            </w:r>
                          </w:p>
                          <w:p w14:paraId="632F9491" w14:textId="77777777" w:rsidR="000F6815" w:rsidRDefault="000F6815" w:rsidP="000F6815">
                            <w:pPr>
                              <w:pStyle w:val="Textbox"/>
                            </w:pPr>
                            <w:r>
                              <w:t>You should not add dioxin-like compounds (i.e., dioxins or PCBs) to the Biosolids Tool: the fate and transport algorithms contained in the Tool are not appropriate for these compounds. You should also not add mercury compounds. Although the Tool contains the appropriate algorithms for these, they must be combined in a somewhat different way that is beyond the scope of this User’s Guide.</w:t>
                            </w:r>
                          </w:p>
                        </w:txbxContent>
                      </wps:txbx>
                      <wps:bodyPr rot="0" vert="horz" wrap="square" lIns="91440" tIns="45720" rIns="91440" bIns="45720" anchor="t" anchorCtr="0">
                        <a:spAutoFit/>
                      </wps:bodyPr>
                    </wps:wsp>
                  </a:graphicData>
                </a:graphic>
              </wp:inline>
            </w:drawing>
          </mc:Choice>
          <mc:Fallback>
            <w:pict>
              <v:shape w14:anchorId="3B6F6214" id="_x0000_s1029" type="#_x0000_t202" style="width:468pt;height:13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" fillcolor="#d9e2f3 [660]">
                <v:textbox style="mso-fit-shape-to-text:t">
                  <w:txbxContent>
                    <w:p w14:paraId="53579D04" w14:textId="77777777" w:rsidR="000F6815" w:rsidRPr="002E5174" w:rsidRDefault="000F6815" w:rsidP="000F6815">
                      <w:pPr>
                        <w:pStyle w:val="Textbox"/>
                        <w:jc w:val="center"/>
                        <w:rPr>
                          <w:b/>
                          <w:bCs/>
                        </w:rPr>
                      </w:pPr>
                      <w:r w:rsidRPr="002E5174">
                        <w:rPr>
                          <w:b/>
                          <w:bCs/>
                        </w:rPr>
                        <w:t xml:space="preserve">Chemical Limitations of </w:t>
                      </w:r>
                      <w:r>
                        <w:rPr>
                          <w:b/>
                          <w:bCs/>
                        </w:rPr>
                        <w:t>the Biosolids Tool</w:t>
                      </w:r>
                    </w:p>
                    <w:p w14:paraId="632F9491" w14:textId="77777777" w:rsidR="000F6815" w:rsidRDefault="000F6815" w:rsidP="000F6815">
                      <w:pPr>
                        <w:pStyle w:val="Textbox"/>
                      </w:pPr>
                      <w:r>
                        <w:t>You should not add dioxin-like compounds (i.e., dioxins or PCBs) to the Biosolids Tool: the fate and transport algorithms contained in the Tool are not appropriate for these compounds. You should also not add mercury compounds. Although the Tool contains the appropriate algorithms for these, they must be combined in a somewhat different way that is beyond the scope of this User’s Guide.</w:t>
                      </w:r>
                    </w:p>
                  </w:txbxContent>
                </v:textbox>
                <w10:anchorlock/>
              </v:shape>
            </w:pict>
          </mc:Fallback>
        </mc:AlternateContent>
      </w:r>
    </w:p>
    <w:p w14:paraId="0BD27DF2" w14:textId="77777777" w:rsidR="000F6815" w:rsidRPr="00286D3B" w:rsidRDefault="000F6815" w:rsidP="000F6815">
      <w:pPr>
        <w:pStyle w:val="Insertfigure"/>
        <w:rPr>
          <w:szCs w:val="24"/>
        </w:rPr>
      </w:pPr>
      <w:r w:rsidRPr="00F62BA8">
        <w:rPr>
          <w:noProof/>
        </w:rPr>
        <w:lastRenderedPageBreak/>
        <w:t xml:space="preserve"> </w:t>
      </w:r>
      <w:r>
        <w:rPr>
          <w:noProof/>
        </w:rPr>
        <w:drawing>
          <wp:inline distT="0" distB="0" distL="0" distR="0" wp14:anchorId="4F691260" wp14:editId="0CF2C4C5">
            <wp:extent cx="5943600" cy="775716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7757160"/>
                    </a:xfrm>
                    <a:prstGeom prst="rect">
                      <a:avLst/>
                    </a:prstGeom>
                  </pic:spPr>
                </pic:pic>
              </a:graphicData>
            </a:graphic>
          </wp:inline>
        </w:drawing>
      </w:r>
    </w:p>
    <w:p w14:paraId="2536748C" w14:textId="77777777" w:rsidR="000F6815" w:rsidRPr="00286D3B" w:rsidRDefault="000F6815" w:rsidP="000F6815">
      <w:pPr>
        <w:pStyle w:val="Figurecaption"/>
      </w:pPr>
      <w:bookmarkStart w:id="59" w:name="_Toc92366067"/>
      <w:bookmarkStart w:id="60" w:name="_Toc103854353"/>
      <w:r w:rsidRPr="00286D3B">
        <w:t xml:space="preserve">Figure </w:t>
      </w:r>
      <w:r>
        <w:t>10</w:t>
      </w:r>
      <w:r w:rsidRPr="00286D3B">
        <w:t xml:space="preserve">. </w:t>
      </w:r>
      <w:r w:rsidRPr="00286D3B">
        <w:rPr>
          <w:rStyle w:val="Button"/>
          <w:sz w:val="24"/>
        </w:rPr>
        <w:t>Add New Organic Chemical</w:t>
      </w:r>
      <w:r w:rsidRPr="00286D3B">
        <w:t xml:space="preserve"> window.</w:t>
      </w:r>
      <w:bookmarkEnd w:id="59"/>
      <w:bookmarkEnd w:id="60"/>
      <w:r w:rsidRPr="00286D3B">
        <w:t xml:space="preserve"> </w:t>
      </w:r>
    </w:p>
    <w:p w14:paraId="3521EB36" w14:textId="77777777" w:rsidR="000F6815" w:rsidRPr="00286D3B" w:rsidRDefault="000F6815" w:rsidP="000F6815">
      <w:pPr>
        <w:pStyle w:val="Insertfigure"/>
        <w:rPr>
          <w:szCs w:val="24"/>
        </w:rPr>
      </w:pPr>
      <w:r w:rsidRPr="00410C7D">
        <w:rPr>
          <w:noProof/>
        </w:rPr>
        <w:lastRenderedPageBreak/>
        <w:t xml:space="preserve"> </w:t>
      </w:r>
      <w:r>
        <w:rPr>
          <w:noProof/>
        </w:rPr>
        <w:drawing>
          <wp:inline distT="0" distB="0" distL="0" distR="0" wp14:anchorId="58736F83" wp14:editId="5F89EC66">
            <wp:extent cx="5310835" cy="7932283"/>
            <wp:effectExtent l="0" t="0" r="444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313393" cy="7936103"/>
                    </a:xfrm>
                    <a:prstGeom prst="rect">
                      <a:avLst/>
                    </a:prstGeom>
                  </pic:spPr>
                </pic:pic>
              </a:graphicData>
            </a:graphic>
          </wp:inline>
        </w:drawing>
      </w:r>
    </w:p>
    <w:p w14:paraId="714953FA" w14:textId="77777777" w:rsidR="000F6815" w:rsidRPr="00286D3B" w:rsidRDefault="000F6815" w:rsidP="000F6815">
      <w:pPr>
        <w:pStyle w:val="Figurecaption"/>
      </w:pPr>
      <w:bookmarkStart w:id="61" w:name="_Toc92366068"/>
      <w:bookmarkStart w:id="62" w:name="_Toc103854354"/>
      <w:r w:rsidRPr="00286D3B">
        <w:t>Figure 1</w:t>
      </w:r>
      <w:r>
        <w:t>1</w:t>
      </w:r>
      <w:r w:rsidRPr="00286D3B">
        <w:t xml:space="preserve">. </w:t>
      </w:r>
      <w:r w:rsidRPr="00286D3B">
        <w:rPr>
          <w:rStyle w:val="Button"/>
          <w:sz w:val="24"/>
        </w:rPr>
        <w:t>Add New Inorganic Chemical</w:t>
      </w:r>
      <w:r w:rsidRPr="00286D3B">
        <w:t xml:space="preserve"> window.</w:t>
      </w:r>
      <w:bookmarkEnd w:id="61"/>
      <w:bookmarkEnd w:id="62"/>
    </w:p>
    <w:p w14:paraId="25278419" w14:textId="77777777" w:rsidR="000F6815" w:rsidRPr="00286D3B" w:rsidRDefault="000F6815" w:rsidP="000F6815">
      <w:pPr>
        <w:pStyle w:val="BodyTextfirst"/>
      </w:pPr>
      <w:r w:rsidRPr="00286D3B">
        <w:rPr>
          <w:noProof/>
          <w:lang w:eastAsia="en-US"/>
        </w:rPr>
        <w:lastRenderedPageBreak/>
        <w:drawing>
          <wp:anchor distT="0" distB="0" distL="114300" distR="114300" simplePos="0" relativeHeight="251658242" behindDoc="0" locked="0" layoutInCell="1" allowOverlap="1" wp14:anchorId="493EEFE7" wp14:editId="0E864B82">
            <wp:simplePos x="0" y="0"/>
            <wp:positionH relativeFrom="margin">
              <wp:align>right</wp:align>
            </wp:positionH>
            <wp:positionV relativeFrom="paragraph">
              <wp:posOffset>775277</wp:posOffset>
            </wp:positionV>
            <wp:extent cx="3758184" cy="1554480"/>
            <wp:effectExtent l="0" t="0" r="0" b="7620"/>
            <wp:wrapSquare wrapText="bothSides"/>
            <wp:docPr id="300" name="Picture 300" descr="Detail of an out of range message on the Add New Chemical window indicating that the out of range value entered has been reset to the maximum va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Picture 300" descr="Detail of an out of range message on the Add New Chemical window indicating that the out of range value entered has been reset to the maximum value."/>
                    <pic:cNvPicPr/>
                  </pic:nvPicPr>
                  <pic:blipFill rotWithShape="1">
                    <a:blip r:embed="rId30">
                      <a:extLst>
                        <a:ext uri="{28A0092B-C50C-407E-A947-70E740481C1C}">
                          <a14:useLocalDpi xmlns:a14="http://schemas.microsoft.com/office/drawing/2010/main" val="0"/>
                        </a:ext>
                      </a:extLst>
                    </a:blip>
                    <a:srcRect l="20515" t="24268" r="16299" b="40525"/>
                    <a:stretch/>
                  </pic:blipFill>
                  <pic:spPr bwMode="auto">
                    <a:xfrm>
                      <a:off x="0" y="0"/>
                      <a:ext cx="3758184" cy="15544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86D3B">
        <w:t xml:space="preserve">You can move through the fields on the </w:t>
      </w:r>
      <w:r w:rsidRPr="00286D3B">
        <w:rPr>
          <w:rStyle w:val="Button"/>
          <w:sz w:val="24"/>
        </w:rPr>
        <w:t>Add New Chemical</w:t>
      </w:r>
      <w:r w:rsidRPr="00286D3B">
        <w:t xml:space="preserve"> forms in order using the </w:t>
      </w:r>
      <w:r w:rsidRPr="00286D3B">
        <w:rPr>
          <w:rStyle w:val="Button"/>
          <w:sz w:val="24"/>
        </w:rPr>
        <w:t>Tab</w:t>
      </w:r>
      <w:r w:rsidRPr="00286D3B">
        <w:t xml:space="preserve"> key or you can skip around by clicking in the desired field. Once you are in a field, however, you must enter a value within the range specified to the right of the value field (or occasionally above, when it applies to multiple grouped entries). The ranges are inclusive (so below, diffusivity in water must be between 0 and 0.01, and can be exactly 0 or 0.01). If you enter a value outside the range, the Tool will reset it to the minimum or maximum when you leave the field, and you will see a warning that this has been done (shown at right). Click on the </w:t>
      </w:r>
      <w:r w:rsidRPr="00286D3B">
        <w:rPr>
          <w:rStyle w:val="Button"/>
          <w:sz w:val="24"/>
        </w:rPr>
        <w:t>Ok</w:t>
      </w:r>
      <w:r w:rsidRPr="00286D3B">
        <w:t xml:space="preserve"> button to dismiss the warning. You can then either leave the value at the minimum or maximum or, if your entry was a typo and the minimum or maximum is not appropriate, you can correct it. For example, if you entered 2 instead of the actual value 0.2, the reset value of 1 is not appropriate and should be corrected to 0.2.</w:t>
      </w:r>
    </w:p>
    <w:p w14:paraId="78038AAC" w14:textId="77777777" w:rsidR="000F6815" w:rsidRPr="00286D3B" w:rsidRDefault="000F6815" w:rsidP="000F6815">
      <w:pPr>
        <w:pStyle w:val="BodyTextfirst"/>
      </w:pPr>
      <w:proofErr w:type="gramStart"/>
      <w:r w:rsidRPr="00286D3B">
        <w:t>All of</w:t>
      </w:r>
      <w:proofErr w:type="gramEnd"/>
      <w:r w:rsidRPr="00286D3B">
        <w:t xml:space="preserve"> the inputs except chemical name are numeric and can be entered in either standard or scientific notation; scientific notation is not case sensitive (i.e., a value of 34 can be entered as 34, 3.4E+1, or 3.4e+1). Be sure to enter data in the units shown to the right of the allowable range; use of different units will produce erroneous risk results. </w:t>
      </w:r>
    </w:p>
    <w:p w14:paraId="3AEBCF49" w14:textId="77777777" w:rsidR="000F6815" w:rsidRPr="00286D3B" w:rsidRDefault="000F6815" w:rsidP="000F6815">
      <w:pPr>
        <w:pStyle w:val="BodyText"/>
      </w:pPr>
      <w:r w:rsidRPr="00286D3B">
        <w:t xml:space="preserve">Click on the </w:t>
      </w:r>
      <w:r w:rsidRPr="00286D3B">
        <w:rPr>
          <w:smallCaps/>
        </w:rPr>
        <w:t>Reset Form</w:t>
      </w:r>
      <w:r w:rsidRPr="00286D3B">
        <w:t xml:space="preserve"> button (top right of </w:t>
      </w:r>
      <w:r w:rsidRPr="00286D3B">
        <w:rPr>
          <w:rStyle w:val="Button"/>
          <w:sz w:val="24"/>
        </w:rPr>
        <w:t>Add New Chemical</w:t>
      </w:r>
      <w:r w:rsidRPr="00286D3B">
        <w:t xml:space="preserve"> form) to clear your entries without saving and start over. Click on the </w:t>
      </w:r>
      <w:r w:rsidRPr="00286D3B">
        <w:rPr>
          <w:smallCaps/>
        </w:rPr>
        <w:t>Close Form</w:t>
      </w:r>
      <w:r w:rsidRPr="00286D3B">
        <w:t xml:space="preserve"> button (also at top right) to cancel without saving and return to the </w:t>
      </w:r>
      <w:r w:rsidRPr="00286D3B">
        <w:rPr>
          <w:rStyle w:val="Button"/>
          <w:sz w:val="24"/>
        </w:rPr>
        <w:t>Select New Chemical Type</w:t>
      </w:r>
      <w:r w:rsidRPr="00286D3B">
        <w:t xml:space="preserve"> form.</w:t>
      </w:r>
    </w:p>
    <w:p w14:paraId="037C0574" w14:textId="77777777" w:rsidR="000F6815" w:rsidRPr="00286D3B" w:rsidRDefault="000F6815" w:rsidP="000F6815">
      <w:pPr>
        <w:pStyle w:val="BodyText"/>
      </w:pPr>
      <w:r w:rsidRPr="00286D3B">
        <w:t>A few things to note:</w:t>
      </w:r>
    </w:p>
    <w:p w14:paraId="47E9F620" w14:textId="77777777" w:rsidR="000F6815" w:rsidRPr="00286D3B" w:rsidRDefault="000F6815" w:rsidP="000F6815">
      <w:pPr>
        <w:pStyle w:val="Heading4"/>
      </w:pPr>
      <w:bookmarkStart w:id="63" w:name="_Hlk92364523"/>
      <w:r w:rsidRPr="00286D3B">
        <w:t xml:space="preserve">General Chemical </w:t>
      </w:r>
      <w:r w:rsidRPr="00980B39">
        <w:t>Information</w:t>
      </w:r>
    </w:p>
    <w:p w14:paraId="7594124C" w14:textId="77777777" w:rsidR="000F6815" w:rsidRPr="00286D3B" w:rsidRDefault="000F6815" w:rsidP="00347221">
      <w:pPr>
        <w:pStyle w:val="ListBullet"/>
      </w:pPr>
      <w:r w:rsidRPr="00286D3B">
        <w:rPr>
          <w:b/>
          <w:bCs/>
        </w:rPr>
        <w:t>CAS number</w:t>
      </w:r>
      <w:r w:rsidRPr="00286D3B">
        <w:t xml:space="preserve"> will be saved as all numbers whether you enter it that way or with hyphens. </w:t>
      </w:r>
    </w:p>
    <w:p w14:paraId="4C8EE44C" w14:textId="77777777" w:rsidR="000F6815" w:rsidRPr="00286D3B" w:rsidRDefault="000F6815" w:rsidP="00347221">
      <w:pPr>
        <w:pStyle w:val="ListBullet"/>
      </w:pPr>
      <w:r w:rsidRPr="00286D3B">
        <w:rPr>
          <w:b/>
          <w:bCs/>
        </w:rPr>
        <w:t>Compound name</w:t>
      </w:r>
      <w:r w:rsidRPr="00286D3B">
        <w:t xml:space="preserve"> can be any text string, but it may be helpful for purposes of sorting the results by chemical name to move leading numeric prefixes to the end of the name, as follows: “Chlorophenol, 4</w:t>
      </w:r>
      <w:r w:rsidRPr="00286D3B">
        <w:noBreakHyphen/>
        <w:t>” instead of “4-Chlorophenol.”</w:t>
      </w:r>
    </w:p>
    <w:p w14:paraId="20D906A9" w14:textId="77777777" w:rsidR="000F6815" w:rsidRPr="00286D3B" w:rsidRDefault="000F6815" w:rsidP="00347221">
      <w:pPr>
        <w:pStyle w:val="ListBullet"/>
      </w:pPr>
      <w:r w:rsidRPr="00286D3B">
        <w:rPr>
          <w:b/>
          <w:bCs/>
        </w:rPr>
        <w:t>Dry waste concentration (</w:t>
      </w:r>
      <w:proofErr w:type="spellStart"/>
      <w:r w:rsidRPr="00286D3B">
        <w:rPr>
          <w:b/>
          <w:bCs/>
        </w:rPr>
        <w:t>CTPWasteDry</w:t>
      </w:r>
      <w:proofErr w:type="spellEnd"/>
      <w:r w:rsidRPr="00286D3B">
        <w:rPr>
          <w:b/>
          <w:bCs/>
        </w:rPr>
        <w:t>)</w:t>
      </w:r>
      <w:r w:rsidRPr="00286D3B">
        <w:t xml:space="preserve"> must be a </w:t>
      </w:r>
      <w:r w:rsidRPr="00286D3B">
        <w:rPr>
          <w:b/>
          <w:bCs/>
          <w:i/>
          <w:iCs/>
        </w:rPr>
        <w:t>dry weight</w:t>
      </w:r>
      <w:r w:rsidRPr="00286D3B">
        <w:t xml:space="preserve"> concentration and must be nonzero. If you have only a wet weight waste concentration, divide it by the fractional equivalent of the percent solids you entered on the </w:t>
      </w:r>
      <w:r w:rsidRPr="00286D3B">
        <w:rPr>
          <w:smallCaps/>
        </w:rPr>
        <w:t>Scenarios</w:t>
      </w:r>
      <w:r w:rsidRPr="00286D3B">
        <w:t xml:space="preserve"> tab. So, for the default solids content of 40%, divide the wet weight by 0.4 to obtain a dry weight.</w:t>
      </w:r>
    </w:p>
    <w:bookmarkEnd w:id="63"/>
    <w:p w14:paraId="40E14D13" w14:textId="77777777" w:rsidR="000F6815" w:rsidRPr="00286D3B" w:rsidRDefault="000F6815" w:rsidP="000F6815">
      <w:pPr>
        <w:pStyle w:val="Heading4"/>
      </w:pPr>
      <w:r w:rsidRPr="00286D3B">
        <w:t>Physical-Chemical Properties</w:t>
      </w:r>
    </w:p>
    <w:p w14:paraId="1E5696EA" w14:textId="77777777" w:rsidR="000F6815" w:rsidRPr="00286D3B" w:rsidRDefault="000F6815" w:rsidP="00347221">
      <w:pPr>
        <w:pStyle w:val="ListBullet"/>
      </w:pPr>
      <w:r w:rsidRPr="00286D3B">
        <w:rPr>
          <w:b/>
          <w:bCs/>
        </w:rPr>
        <w:t xml:space="preserve">Molecular weight (MW) </w:t>
      </w:r>
      <w:r w:rsidRPr="00286D3B">
        <w:t>can be derived from the chemical formula if you cannot locate it otherwise. However, these data are generally readily available.</w:t>
      </w:r>
    </w:p>
    <w:p w14:paraId="7AE84DA5" w14:textId="77777777" w:rsidR="000F6815" w:rsidRPr="00286D3B" w:rsidRDefault="000F6815" w:rsidP="00347221">
      <w:pPr>
        <w:pStyle w:val="ListBullet"/>
      </w:pPr>
      <w:r w:rsidRPr="00286D3B">
        <w:rPr>
          <w:b/>
          <w:bCs/>
        </w:rPr>
        <w:t>Diffusivities in water (Dw) and air (Da)</w:t>
      </w:r>
      <w:r w:rsidRPr="00286D3B">
        <w:t xml:space="preserve"> reflect the molecular diffusion of chemicals through water or air. Data for diffusivity are not widely available, so they must typically </w:t>
      </w:r>
      <w:r w:rsidRPr="00286D3B">
        <w:lastRenderedPageBreak/>
        <w:t xml:space="preserve">be estimated; see </w:t>
      </w:r>
      <w:r w:rsidRPr="00286D3B">
        <w:rPr>
          <w:b/>
          <w:bCs/>
        </w:rPr>
        <w:t>Appendix C, Section C.4.1</w:t>
      </w:r>
      <w:r w:rsidRPr="00286D3B">
        <w:t xml:space="preserve"> for details on how to estimate. Diffusivity in air does not apply to non-volatile chemicals (i.e., most inorganics).</w:t>
      </w:r>
    </w:p>
    <w:p w14:paraId="3CF7AD73" w14:textId="5B14908F" w:rsidR="000F6815" w:rsidRPr="00286D3B" w:rsidRDefault="000F6815" w:rsidP="00347221">
      <w:pPr>
        <w:pStyle w:val="ListBullet"/>
      </w:pPr>
      <w:r w:rsidRPr="00286D3B">
        <w:rPr>
          <w:b/>
          <w:bCs/>
        </w:rPr>
        <w:t>Log octanol-water coefficient (log K</w:t>
      </w:r>
      <w:r w:rsidRPr="00286D3B">
        <w:rPr>
          <w:b/>
          <w:bCs/>
          <w:vertAlign w:val="subscript"/>
        </w:rPr>
        <w:t>ow</w:t>
      </w:r>
      <w:r w:rsidRPr="00286D3B">
        <w:rPr>
          <w:b/>
          <w:bCs/>
        </w:rPr>
        <w:t>)</w:t>
      </w:r>
      <w:r w:rsidRPr="00286D3B">
        <w:t xml:space="preserve"> reflects how organic chemicals partition between octanol and water and is widely available. It applies to most organics, but for some</w:t>
      </w:r>
      <w:r w:rsidR="00791348">
        <w:t xml:space="preserve"> chemicals that accumulate mainly to tissues besides fat</w:t>
      </w:r>
      <w:r w:rsidR="0016649A">
        <w:t xml:space="preserve">, </w:t>
      </w:r>
      <w:r w:rsidR="00791348">
        <w:t xml:space="preserve">log </w:t>
      </w:r>
      <w:proofErr w:type="spellStart"/>
      <w:r w:rsidR="00791348">
        <w:t>K</w:t>
      </w:r>
      <w:r w:rsidR="00791348" w:rsidRPr="0016649A">
        <w:rPr>
          <w:vertAlign w:val="subscript"/>
        </w:rPr>
        <w:t>ow</w:t>
      </w:r>
      <w:proofErr w:type="spellEnd"/>
      <w:r w:rsidR="00791348">
        <w:t xml:space="preserve"> is not appropriate</w:t>
      </w:r>
      <w:r w:rsidRPr="00286D3B">
        <w:t>.</w:t>
      </w:r>
      <w:r w:rsidR="00791348">
        <w:t xml:space="preserve"> Some chemicals with surfactant properties may also not have meaningful log </w:t>
      </w:r>
      <w:proofErr w:type="spellStart"/>
      <w:r w:rsidR="00791348">
        <w:t>K</w:t>
      </w:r>
      <w:r w:rsidR="00791348" w:rsidRPr="0016649A">
        <w:rPr>
          <w:vertAlign w:val="subscript"/>
        </w:rPr>
        <w:t>ow</w:t>
      </w:r>
      <w:proofErr w:type="spellEnd"/>
      <w:r w:rsidR="00791348">
        <w:t xml:space="preserve"> value</w:t>
      </w:r>
      <w:r w:rsidR="0016649A">
        <w:t>s</w:t>
      </w:r>
      <w:r w:rsidR="00791348">
        <w:t xml:space="preserve"> as the chemical may mainly be present at the interface between the solvents.</w:t>
      </w:r>
      <w:r w:rsidRPr="00286D3B">
        <w:t xml:space="preserve"> The Tool uses log K</w:t>
      </w:r>
      <w:r w:rsidRPr="00286D3B">
        <w:rPr>
          <w:vertAlign w:val="subscript"/>
        </w:rPr>
        <w:t>ow</w:t>
      </w:r>
      <w:r w:rsidRPr="00286D3B">
        <w:t xml:space="preserve"> only to calculate biotransfer factors for organics for terrestrial pathways. Thus, it can be left blank to indicate that it is not measurable or applicable for a new chemical. Note that setting log K</w:t>
      </w:r>
      <w:r w:rsidRPr="00286D3B">
        <w:rPr>
          <w:vertAlign w:val="subscript"/>
        </w:rPr>
        <w:t>ow</w:t>
      </w:r>
      <w:r w:rsidRPr="00286D3B">
        <w:t xml:space="preserve"> to zero is not the same as leaving it blank: zero is a valid value that indicates a K</w:t>
      </w:r>
      <w:r w:rsidRPr="00286D3B">
        <w:rPr>
          <w:vertAlign w:val="subscript"/>
        </w:rPr>
        <w:t>ow</w:t>
      </w:r>
      <w:r w:rsidRPr="00286D3B">
        <w:t xml:space="preserve"> of 1. The valid range shown in the form in Figure </w:t>
      </w:r>
      <w:r w:rsidR="0016649A">
        <w:t>10</w:t>
      </w:r>
      <w:r w:rsidRPr="00286D3B">
        <w:t xml:space="preserve"> applies to a non-blank value.</w:t>
      </w:r>
    </w:p>
    <w:p w14:paraId="04C5EE05" w14:textId="0E19A9E3" w:rsidR="000F6815" w:rsidRPr="00286D3B" w:rsidRDefault="000F6815" w:rsidP="00347221">
      <w:pPr>
        <w:pStyle w:val="ListBullet"/>
      </w:pPr>
      <w:r w:rsidRPr="00286D3B">
        <w:rPr>
          <w:b/>
          <w:bCs/>
        </w:rPr>
        <w:t>Organic carbon partition coefficient</w:t>
      </w:r>
      <w:r w:rsidRPr="00286D3B">
        <w:t xml:space="preserve"> </w:t>
      </w:r>
      <w:r w:rsidRPr="00286D3B">
        <w:rPr>
          <w:b/>
          <w:bCs/>
        </w:rPr>
        <w:t>(K</w:t>
      </w:r>
      <w:r w:rsidRPr="00286D3B">
        <w:rPr>
          <w:b/>
          <w:bCs/>
          <w:vertAlign w:val="subscript"/>
        </w:rPr>
        <w:t>oc</w:t>
      </w:r>
      <w:r w:rsidRPr="00286D3B">
        <w:rPr>
          <w:b/>
          <w:bCs/>
        </w:rPr>
        <w:t>)</w:t>
      </w:r>
      <w:r w:rsidRPr="00286D3B">
        <w:t xml:space="preserve"> applies to organics only. If data cannot be located, it can be estimated using EPISuite (U.S. EPA, 2010).</w:t>
      </w:r>
      <w:r w:rsidRPr="00286D3B">
        <w:rPr>
          <w:rStyle w:val="FootnoteReference"/>
        </w:rPr>
        <w:footnoteReference w:id="4"/>
      </w:r>
      <w:r w:rsidRPr="00286D3B">
        <w:t xml:space="preserve"> </w:t>
      </w:r>
    </w:p>
    <w:p w14:paraId="3848F61B" w14:textId="099721F7" w:rsidR="000F6815" w:rsidRPr="00286D3B" w:rsidRDefault="000F6815" w:rsidP="00347221">
      <w:pPr>
        <w:pStyle w:val="ListBullet"/>
      </w:pPr>
      <w:r w:rsidRPr="00286D3B">
        <w:rPr>
          <w:b/>
          <w:bCs/>
        </w:rPr>
        <w:t>Henry’s law constant (HLC)</w:t>
      </w:r>
      <w:r w:rsidRPr="00286D3B">
        <w:t xml:space="preserve"> applies to organics only. Compilations are widely available, or it can be estimated using EPISuite.</w:t>
      </w:r>
      <w:r w:rsidRPr="00286D3B">
        <w:rPr>
          <w:vertAlign w:val="superscript"/>
        </w:rPr>
        <w:t>2</w:t>
      </w:r>
      <w:r w:rsidRPr="00286D3B">
        <w:t xml:space="preserve"> Regardless of whether you have measured data or an estimated Henry’s law constant, if the value is less than 1×10</w:t>
      </w:r>
      <w:r w:rsidRPr="00286D3B">
        <w:rPr>
          <w:vertAlign w:val="superscript"/>
        </w:rPr>
        <w:t>-10</w:t>
      </w:r>
      <w:r w:rsidRPr="00286D3B">
        <w:t xml:space="preserve">, you should set it to zero; otherwise, you will get unrealistically large values of the air-to-plant uptake factor, </w:t>
      </w:r>
      <w:proofErr w:type="spellStart"/>
      <w:r w:rsidRPr="00286D3B">
        <w:t>Bv</w:t>
      </w:r>
      <w:proofErr w:type="spellEnd"/>
      <w:r w:rsidRPr="00286D3B">
        <w:t xml:space="preserve">. </w:t>
      </w:r>
    </w:p>
    <w:p w14:paraId="62163DCD" w14:textId="77777777" w:rsidR="000F6815" w:rsidRPr="00286D3B" w:rsidRDefault="000F6815" w:rsidP="00347221">
      <w:pPr>
        <w:pStyle w:val="ListBullet"/>
      </w:pPr>
      <w:r w:rsidRPr="00286D3B">
        <w:rPr>
          <w:b/>
          <w:bCs/>
        </w:rPr>
        <w:t>Density</w:t>
      </w:r>
      <w:r w:rsidRPr="00286D3B">
        <w:t xml:space="preserve"> is used to estimate diffusivity in water for inorganics. Data are widely available.</w:t>
      </w:r>
    </w:p>
    <w:p w14:paraId="0A4DD311" w14:textId="77777777" w:rsidR="000F6815" w:rsidRPr="00286D3B" w:rsidRDefault="000F6815" w:rsidP="00347221">
      <w:pPr>
        <w:pStyle w:val="ListBullet"/>
      </w:pPr>
      <w:r w:rsidRPr="00286D3B">
        <w:rPr>
          <w:b/>
          <w:bCs/>
        </w:rPr>
        <w:t>Soil partition coefficient</w:t>
      </w:r>
      <w:r w:rsidRPr="00286D3B">
        <w:t xml:space="preserve"> </w:t>
      </w:r>
      <w:r w:rsidRPr="00286D3B">
        <w:rPr>
          <w:b/>
          <w:bCs/>
        </w:rPr>
        <w:t>(</w:t>
      </w:r>
      <w:proofErr w:type="spellStart"/>
      <w:r w:rsidRPr="00286D3B">
        <w:rPr>
          <w:b/>
          <w:bCs/>
        </w:rPr>
        <w:t>K</w:t>
      </w:r>
      <w:r w:rsidRPr="00286D3B">
        <w:rPr>
          <w:b/>
          <w:bCs/>
          <w:vertAlign w:val="subscript"/>
        </w:rPr>
        <w:t>d</w:t>
      </w:r>
      <w:proofErr w:type="spellEnd"/>
      <w:r w:rsidRPr="00286D3B">
        <w:rPr>
          <w:b/>
          <w:bCs/>
        </w:rPr>
        <w:t>)</w:t>
      </w:r>
      <w:r w:rsidRPr="00286D3B">
        <w:t xml:space="preserve"> is an input for inorganics only; for organics, it is calculated from K</w:t>
      </w:r>
      <w:r w:rsidRPr="00286D3B">
        <w:rPr>
          <w:vertAlign w:val="subscript"/>
        </w:rPr>
        <w:t>oc</w:t>
      </w:r>
      <w:r w:rsidRPr="00286D3B">
        <w:t xml:space="preserve"> and fraction organic carbon (although you can change the calculated value later).</w:t>
      </w:r>
    </w:p>
    <w:p w14:paraId="66A6F4BC" w14:textId="77777777" w:rsidR="000F6815" w:rsidRPr="00286D3B" w:rsidRDefault="000F6815" w:rsidP="00347221">
      <w:pPr>
        <w:pStyle w:val="ListBullet"/>
      </w:pPr>
      <w:r w:rsidRPr="00286D3B">
        <w:rPr>
          <w:b/>
          <w:bCs/>
        </w:rPr>
        <w:t xml:space="preserve">Solubility </w:t>
      </w:r>
      <w:r w:rsidRPr="00286D3B">
        <w:t xml:space="preserve">is used only to generate a warning if the soil porewater concentration for the LAU exceeds the solubility value at any time during the simulation. It is not used directly in the LAU simulation or any other model computations, so different values will have no impact on the numeric results (but may affect whether the solubility warning is shown). See </w:t>
      </w:r>
      <w:r w:rsidRPr="00286D3B">
        <w:rPr>
          <w:b/>
          <w:bCs/>
        </w:rPr>
        <w:t>Section 5.1</w:t>
      </w:r>
      <w:r w:rsidRPr="00286D3B">
        <w:t xml:space="preserve"> for more discussion of the solubility limit exceeded warning. </w:t>
      </w:r>
    </w:p>
    <w:p w14:paraId="2E07CE07" w14:textId="77777777" w:rsidR="000F6815" w:rsidRPr="00980B39" w:rsidRDefault="000F6815" w:rsidP="000F6815">
      <w:pPr>
        <w:pStyle w:val="Heading4"/>
      </w:pPr>
      <w:r w:rsidRPr="00980B39">
        <w:t>Bioconcentration and Bioaccumulation Factors</w:t>
      </w:r>
    </w:p>
    <w:p w14:paraId="7C77B470" w14:textId="7E01AC63" w:rsidR="000F6815" w:rsidRPr="00286D3B" w:rsidRDefault="000F6815" w:rsidP="00347221">
      <w:pPr>
        <w:pStyle w:val="ListBullet"/>
      </w:pPr>
      <w:r w:rsidRPr="00286D3B">
        <w:rPr>
          <w:b/>
          <w:bCs/>
        </w:rPr>
        <w:t>Terrestrial bioconcentration factors for beef, milk, produce, and grains</w:t>
      </w:r>
      <w:r w:rsidRPr="00286D3B">
        <w:t xml:space="preserve"> are inputs for inorganics; for organics the</w:t>
      </w:r>
      <w:r w:rsidR="00791348">
        <w:t xml:space="preserve"> BST</w:t>
      </w:r>
      <w:r w:rsidRPr="00286D3B">
        <w:t xml:space="preserve"> </w:t>
      </w:r>
      <w:r w:rsidR="00791348">
        <w:t>will estimate</w:t>
      </w:r>
      <w:r w:rsidRPr="00286D3B">
        <w:t xml:space="preserve"> from log K</w:t>
      </w:r>
      <w:r w:rsidRPr="00286D3B">
        <w:rPr>
          <w:vertAlign w:val="subscript"/>
        </w:rPr>
        <w:t>ow</w:t>
      </w:r>
      <w:r w:rsidRPr="00286D3B">
        <w:t xml:space="preserve"> (although you can change those calculated values later).</w:t>
      </w:r>
      <w:r w:rsidR="00791348">
        <w:t xml:space="preserve"> </w:t>
      </w:r>
      <w:r w:rsidR="001A3062">
        <w:t>You</w:t>
      </w:r>
      <w:r w:rsidR="00791348">
        <w:t xml:space="preserve"> should be aware if the chemical is part of a category that is not appropriate for using K</w:t>
      </w:r>
      <w:r w:rsidR="00791348" w:rsidRPr="0016649A">
        <w:rPr>
          <w:vertAlign w:val="subscript"/>
        </w:rPr>
        <w:t>ow</w:t>
      </w:r>
      <w:r w:rsidR="00791348">
        <w:t xml:space="preserve"> to estimate bioaccumulation in organisms.</w:t>
      </w:r>
    </w:p>
    <w:p w14:paraId="17521AFC" w14:textId="77777777" w:rsidR="000F6815" w:rsidRPr="00286D3B" w:rsidRDefault="000F6815" w:rsidP="00347221">
      <w:pPr>
        <w:pStyle w:val="ListBullet"/>
        <w:rPr>
          <w:b/>
          <w:bCs/>
        </w:rPr>
      </w:pPr>
      <w:r w:rsidRPr="00286D3B">
        <w:rPr>
          <w:b/>
          <w:bCs/>
        </w:rPr>
        <w:t>Fish and other aquatic B</w:t>
      </w:r>
      <w:r>
        <w:rPr>
          <w:b/>
          <w:bCs/>
        </w:rPr>
        <w:t>A</w:t>
      </w:r>
      <w:r w:rsidRPr="00286D3B">
        <w:rPr>
          <w:b/>
          <w:bCs/>
        </w:rPr>
        <w:t>Fs</w:t>
      </w:r>
      <w:r w:rsidRPr="00286D3B">
        <w:t xml:space="preserve"> are available from a variety of literature sources, or they can be estimated using EPISuite for organics (such B</w:t>
      </w:r>
      <w:r>
        <w:t>A</w:t>
      </w:r>
      <w:r w:rsidRPr="00286D3B">
        <w:t>Fs will be flagged as “B</w:t>
      </w:r>
      <w:r>
        <w:t>A</w:t>
      </w:r>
      <w:r w:rsidRPr="00286D3B">
        <w:t xml:space="preserve">F estimated” in the results; see </w:t>
      </w:r>
      <w:r w:rsidRPr="00286D3B">
        <w:rPr>
          <w:b/>
          <w:bCs/>
        </w:rPr>
        <w:t>Section 5.1</w:t>
      </w:r>
      <w:r w:rsidRPr="00286D3B">
        <w:t>).</w:t>
      </w:r>
      <w:r w:rsidRPr="00286D3B">
        <w:rPr>
          <w:vertAlign w:val="superscript"/>
        </w:rPr>
        <w:t>2</w:t>
      </w:r>
      <w:r w:rsidRPr="00286D3B">
        <w:t xml:space="preserve"> Four B</w:t>
      </w:r>
      <w:r>
        <w:t>A</w:t>
      </w:r>
      <w:r w:rsidRPr="00286D3B">
        <w:t>Fs can be entered: trophic level 3 (TL 3) whole fish; TL4 whole fish; TL3 filet; and TL4 filet. Filet B</w:t>
      </w:r>
      <w:r>
        <w:t>A</w:t>
      </w:r>
      <w:r w:rsidRPr="00286D3B">
        <w:t>Fs are used to estimate tissue concentrations in fish consumed by human receptors, while whole fish B</w:t>
      </w:r>
      <w:r>
        <w:t>A</w:t>
      </w:r>
      <w:r w:rsidRPr="00286D3B">
        <w:t xml:space="preserve">Fs are used to estimate tissue concentrations in fish consumed by ecological receptors. Human receptors are assumed to eat both trophic level 3 and 4 fish; specific ecological receptors may eat one, both, </w:t>
      </w:r>
      <w:proofErr w:type="gramStart"/>
      <w:r w:rsidRPr="00286D3B">
        <w:t>or</w:t>
      </w:r>
      <w:proofErr w:type="gramEnd"/>
      <w:r w:rsidRPr="00286D3B">
        <w:t xml:space="preserve"> neither, depending on the receptor.</w:t>
      </w:r>
    </w:p>
    <w:p w14:paraId="43E1F769" w14:textId="77777777" w:rsidR="000F6815" w:rsidRPr="00286D3B" w:rsidRDefault="000F6815" w:rsidP="00347221">
      <w:pPr>
        <w:pStyle w:val="ListBullet"/>
        <w:numPr>
          <w:ilvl w:val="0"/>
          <w:numId w:val="0"/>
        </w:numPr>
        <w:ind w:left="720"/>
      </w:pPr>
      <w:r w:rsidRPr="00286D3B">
        <w:lastRenderedPageBreak/>
        <w:t xml:space="preserve">If you are using literature data, select the longest study time available. If values are not available for both filet and whole for both trophic levels, you can substitute the values you do have for the others (such </w:t>
      </w:r>
      <w:r>
        <w:t>BCFs/</w:t>
      </w:r>
      <w:r w:rsidRPr="00286D3B">
        <w:t>B</w:t>
      </w:r>
      <w:r>
        <w:t>A</w:t>
      </w:r>
      <w:r w:rsidRPr="00286D3B">
        <w:t>Fs will be flagged as “</w:t>
      </w:r>
      <w:r>
        <w:t>BCF/</w:t>
      </w:r>
      <w:r w:rsidRPr="00286D3B">
        <w:t>B</w:t>
      </w:r>
      <w:r>
        <w:t>A</w:t>
      </w:r>
      <w:r w:rsidRPr="00286D3B">
        <w:t xml:space="preserve">F is surrogate” in the results; see </w:t>
      </w:r>
      <w:r w:rsidRPr="00286D3B">
        <w:rPr>
          <w:b/>
          <w:bCs/>
        </w:rPr>
        <w:t>Section 5.1</w:t>
      </w:r>
      <w:r w:rsidRPr="00286D3B">
        <w:t xml:space="preserve">). </w:t>
      </w:r>
    </w:p>
    <w:p w14:paraId="4EDD4405" w14:textId="77777777" w:rsidR="000F6815" w:rsidRPr="00286D3B" w:rsidRDefault="000F6815" w:rsidP="00347221">
      <w:pPr>
        <w:pStyle w:val="ListBullet"/>
        <w:numPr>
          <w:ilvl w:val="0"/>
          <w:numId w:val="0"/>
        </w:numPr>
        <w:ind w:left="720"/>
      </w:pPr>
      <w:r w:rsidRPr="00286D3B">
        <w:t xml:space="preserve">If you estimate </w:t>
      </w:r>
      <w:r>
        <w:t>BCFs/</w:t>
      </w:r>
      <w:r w:rsidRPr="00286D3B">
        <w:t>B</w:t>
      </w:r>
      <w:r>
        <w:t>A</w:t>
      </w:r>
      <w:r w:rsidRPr="00286D3B">
        <w:t>Fs using EPISuite, select values from the Arnot-</w:t>
      </w:r>
      <w:proofErr w:type="spellStart"/>
      <w:r w:rsidRPr="00286D3B">
        <w:t>Gobas</w:t>
      </w:r>
      <w:proofErr w:type="spellEnd"/>
      <w:r w:rsidRPr="00286D3B">
        <w:t xml:space="preserve"> method, and use “mid-trophic level” for TL 3 and “upper trophic level” for TL 4. Be careful to select the actual </w:t>
      </w:r>
      <w:r>
        <w:t>BCF/</w:t>
      </w:r>
      <w:r w:rsidRPr="00286D3B">
        <w:t>B</w:t>
      </w:r>
      <w:r>
        <w:t>A</w:t>
      </w:r>
      <w:r w:rsidRPr="00286D3B">
        <w:t xml:space="preserve">F value in parentheses, not the log </w:t>
      </w:r>
      <w:r>
        <w:t>BCF/</w:t>
      </w:r>
      <w:r w:rsidRPr="00286D3B">
        <w:t>B</w:t>
      </w:r>
      <w:r>
        <w:t>A</w:t>
      </w:r>
      <w:r w:rsidRPr="00286D3B">
        <w:t xml:space="preserve">F value that is listed first. The EPISuite estimates do not distinguish between whole fish and </w:t>
      </w:r>
      <w:proofErr w:type="gramStart"/>
      <w:r w:rsidRPr="00286D3B">
        <w:t>filet, but</w:t>
      </w:r>
      <w:proofErr w:type="gramEnd"/>
      <w:r w:rsidRPr="00286D3B">
        <w:t xml:space="preserve"> can be used for both; these are flagged only as “</w:t>
      </w:r>
      <w:r>
        <w:t>BCF/</w:t>
      </w:r>
      <w:r w:rsidRPr="00286D3B">
        <w:t>B</w:t>
      </w:r>
      <w:r>
        <w:t>A</w:t>
      </w:r>
      <w:r w:rsidRPr="00286D3B">
        <w:t xml:space="preserve">F estimated”; any estimated </w:t>
      </w:r>
      <w:r>
        <w:t>BCF/</w:t>
      </w:r>
      <w:r w:rsidRPr="00286D3B">
        <w:t>B</w:t>
      </w:r>
      <w:r>
        <w:t>A</w:t>
      </w:r>
      <w:r w:rsidRPr="00286D3B">
        <w:t xml:space="preserve">F is also inherently a surrogate. </w:t>
      </w:r>
    </w:p>
    <w:p w14:paraId="19875B98" w14:textId="77777777" w:rsidR="000F6815" w:rsidRPr="00286D3B" w:rsidRDefault="000F6815" w:rsidP="00347221">
      <w:pPr>
        <w:pStyle w:val="ListBullet"/>
        <w:numPr>
          <w:ilvl w:val="0"/>
          <w:numId w:val="0"/>
        </w:numPr>
        <w:ind w:left="720"/>
      </w:pPr>
      <w:r w:rsidRPr="00286D3B">
        <w:t xml:space="preserve">Fish </w:t>
      </w:r>
      <w:r>
        <w:t>BCFs/</w:t>
      </w:r>
      <w:r w:rsidRPr="00286D3B">
        <w:t>B</w:t>
      </w:r>
      <w:r>
        <w:t>A</w:t>
      </w:r>
      <w:r w:rsidRPr="00286D3B">
        <w:t xml:space="preserve">Fs can be used as a surrogate for </w:t>
      </w:r>
      <w:r>
        <w:t>BCFs/</w:t>
      </w:r>
      <w:r w:rsidRPr="00286D3B">
        <w:t>B</w:t>
      </w:r>
      <w:r>
        <w:t>A</w:t>
      </w:r>
      <w:r w:rsidRPr="00286D3B">
        <w:t>Fs for aquatic plants and benthic filter feeders if data are not available.</w:t>
      </w:r>
    </w:p>
    <w:p w14:paraId="78D19FA5" w14:textId="77777777" w:rsidR="000F6815" w:rsidRPr="00286D3B" w:rsidRDefault="000F6815" w:rsidP="00347221">
      <w:pPr>
        <w:pStyle w:val="ListBullet"/>
        <w:numPr>
          <w:ilvl w:val="0"/>
          <w:numId w:val="0"/>
        </w:numPr>
        <w:ind w:left="720"/>
        <w:rPr>
          <w:b/>
          <w:bCs/>
        </w:rPr>
      </w:pPr>
      <w:r w:rsidRPr="00286D3B">
        <w:t xml:space="preserve">If no </w:t>
      </w:r>
      <w:r>
        <w:t>BCFs/</w:t>
      </w:r>
      <w:r w:rsidRPr="00286D3B">
        <w:t>B</w:t>
      </w:r>
      <w:r>
        <w:t>A</w:t>
      </w:r>
      <w:r w:rsidRPr="00286D3B">
        <w:t>Fs are available for inorganics (which cannot be estimated using EPISuite), the risks for human receptors and any fish-eating ecological receptors will be zero for the fish pathway and reduced for the total ingestion or (for ecological receptors) total diet.</w:t>
      </w:r>
      <w:r>
        <w:t xml:space="preserve"> If ingestion is a concern for a chemical, further information will be required to evaluate transfer effects. </w:t>
      </w:r>
    </w:p>
    <w:p w14:paraId="1CE67D72" w14:textId="77777777" w:rsidR="000F6815" w:rsidRPr="00286D3B" w:rsidRDefault="000F6815" w:rsidP="00347221">
      <w:pPr>
        <w:pStyle w:val="ListBullet"/>
      </w:pPr>
      <w:r w:rsidRPr="00286D3B">
        <w:rPr>
          <w:b/>
          <w:bCs/>
        </w:rPr>
        <w:t xml:space="preserve">Terrestrial BAFs </w:t>
      </w:r>
      <w:r w:rsidRPr="00286D3B">
        <w:t xml:space="preserve">are sometimes available in literature for metals, but these BAFs for organic chemicals are generally lacking. If a BAF or BCF is missing or set to zero, then the concentration in the </w:t>
      </w:r>
      <w:proofErr w:type="gramStart"/>
      <w:r w:rsidRPr="00286D3B">
        <w:t>particular food</w:t>
      </w:r>
      <w:proofErr w:type="gramEnd"/>
      <w:r w:rsidRPr="00286D3B">
        <w:t xml:space="preserve"> item will be zero and that part of an ecological receptor’s diet will not contribute to risk. So, if the </w:t>
      </w:r>
      <w:proofErr w:type="spellStart"/>
      <w:r w:rsidRPr="00286D3B">
        <w:t>BAF_SmMammals</w:t>
      </w:r>
      <w:proofErr w:type="spellEnd"/>
      <w:r w:rsidRPr="00286D3B">
        <w:t xml:space="preserve"> is 0, then any ecological receptor that consumes small mammals as part of their diet will not receive any dose from small mammals. Alternatively, BAFs with missing data can be set to a default of 1. </w:t>
      </w:r>
    </w:p>
    <w:p w14:paraId="75BA6152" w14:textId="75C01EBB" w:rsidR="00791348" w:rsidRPr="00791348" w:rsidRDefault="000F6815" w:rsidP="00791348">
      <w:pPr>
        <w:pStyle w:val="Heading4"/>
      </w:pPr>
      <w:r w:rsidRPr="00980B39">
        <w:t>Toxicity</w:t>
      </w:r>
      <w:r w:rsidRPr="00286D3B">
        <w:t xml:space="preserve"> Values</w:t>
      </w:r>
    </w:p>
    <w:p w14:paraId="01E8A75D" w14:textId="60B75FC5" w:rsidR="000F6815" w:rsidRPr="007A534B" w:rsidRDefault="000F6815" w:rsidP="00347221">
      <w:pPr>
        <w:pStyle w:val="ListBullet"/>
      </w:pPr>
      <w:r w:rsidRPr="007A534B">
        <w:rPr>
          <w:b/>
          <w:bCs/>
        </w:rPr>
        <w:t>Human toxicity values</w:t>
      </w:r>
      <w:r w:rsidRPr="007A534B">
        <w:t xml:space="preserve"> must be chronic (not acute) cancer or noncancer values, preferably from</w:t>
      </w:r>
      <w:r w:rsidRPr="007A534B">
        <w:rPr>
          <w:b/>
          <w:bCs/>
        </w:rPr>
        <w:t xml:space="preserve"> </w:t>
      </w:r>
      <w:r w:rsidRPr="007A534B">
        <w:t xml:space="preserve">EPA’s Integrated Risk Information System (IRIS), available at </w:t>
      </w:r>
      <w:hyperlink r:id="rId31" w:history="1">
        <w:r w:rsidRPr="007A534B">
          <w:rPr>
            <w:rStyle w:val="Hyperlink"/>
          </w:rPr>
          <w:t>http://www.epa.gov/iris/</w:t>
        </w:r>
      </w:hyperlink>
      <w:r w:rsidRPr="00791348">
        <w:rPr>
          <w:rStyle w:val="Hyperlink"/>
          <w:color w:val="auto"/>
          <w:u w:val="none"/>
        </w:rPr>
        <w:t>, or the Office of Pesticide Programs (for pesticides)</w:t>
      </w:r>
      <w:r w:rsidRPr="00791348">
        <w:t xml:space="preserve">. </w:t>
      </w:r>
      <w:r w:rsidRPr="007A534B">
        <w:t>If no toxicity value is available from IRIS</w:t>
      </w:r>
      <w:r>
        <w:t xml:space="preserve"> or OPP</w:t>
      </w:r>
      <w:r w:rsidRPr="007A534B">
        <w:t xml:space="preserve">, use the hierarchy of sources shown in </w:t>
      </w:r>
      <w:r w:rsidRPr="007A534B">
        <w:rPr>
          <w:b/>
          <w:bCs/>
        </w:rPr>
        <w:t>Appendix D, Section D.1.</w:t>
      </w:r>
      <w:r w:rsidRPr="007A534B">
        <w:t xml:space="preserve"> Set any for which you do not have data to zero. However, </w:t>
      </w:r>
      <w:r>
        <w:t xml:space="preserve">if you do not </w:t>
      </w:r>
      <w:r w:rsidRPr="007A534B">
        <w:t xml:space="preserve">enter at least one nonzero </w:t>
      </w:r>
      <w:r>
        <w:t xml:space="preserve">human </w:t>
      </w:r>
      <w:r w:rsidRPr="007A534B">
        <w:t>toxicity value</w:t>
      </w:r>
      <w:r>
        <w:t xml:space="preserve">, the Tool will not generate human risk results </w:t>
      </w:r>
      <w:r w:rsidRPr="007A534B">
        <w:t>for the new chemical</w:t>
      </w:r>
      <w:r>
        <w:t>. A warning will advise you of this and give you the option to add values or leave them all</w:t>
      </w:r>
      <w:r w:rsidRPr="007A534B">
        <w:t xml:space="preserve"> zero.</w:t>
      </w:r>
      <w:r>
        <w:t xml:space="preserve"> Human toxicity values can be added later in the Edit Chemicals screen.</w:t>
      </w:r>
    </w:p>
    <w:p w14:paraId="17FAC429" w14:textId="4E8F3BBD" w:rsidR="001A3062" w:rsidRPr="001A3062" w:rsidRDefault="000F6815" w:rsidP="00347221">
      <w:pPr>
        <w:pStyle w:val="ListBullet"/>
        <w:rPr>
          <w:b/>
          <w:bCs/>
        </w:rPr>
      </w:pPr>
      <w:r w:rsidRPr="007A534B">
        <w:rPr>
          <w:b/>
          <w:bCs/>
        </w:rPr>
        <w:t xml:space="preserve">Ecological toxicity values for mammals and birds </w:t>
      </w:r>
      <w:r w:rsidRPr="007A534B">
        <w:t>are typically scaled from a reference benchmark and the body weight of the test species it was based on. The reference benchmark doses and body weights for mammals and birds can be entered if available or left blank if not. Once you enter a benchmark dose, you must enter an associated benchmark body weight.</w:t>
      </w:r>
      <w:r w:rsidR="001A3062" w:rsidRPr="001A3062">
        <w:t xml:space="preserve"> </w:t>
      </w:r>
      <w:r w:rsidR="001A3062" w:rsidRPr="00286D3B">
        <w:t>Ecological toxicity values for direct contact receptors must be added later by editing chemical properties.</w:t>
      </w:r>
    </w:p>
    <w:p w14:paraId="55694006" w14:textId="7F36FEA8" w:rsidR="000F6815" w:rsidRPr="00791348" w:rsidRDefault="001A3062" w:rsidP="001A3062">
      <w:r w:rsidRPr="00286D3B">
        <w:rPr>
          <w:noProof/>
        </w:rPr>
        <mc:AlternateContent>
          <mc:Choice Requires="wps">
            <w:drawing>
              <wp:inline distT="0" distB="0" distL="0" distR="0" wp14:anchorId="7BD471CE" wp14:editId="48F9F490">
                <wp:extent cx="5943600" cy="833755"/>
                <wp:effectExtent l="0" t="0" r="19050" b="23495"/>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33755"/>
                        </a:xfrm>
                        <a:prstGeom prst="rect">
                          <a:avLst/>
                        </a:prstGeom>
                        <a:solidFill>
                          <a:schemeClr val="accent1">
                            <a:lumMod val="20000"/>
                            <a:lumOff val="80000"/>
                          </a:schemeClr>
                        </a:solidFill>
                        <a:ln w="9525">
                          <a:solidFill>
                            <a:srgbClr val="000000"/>
                          </a:solidFill>
                          <a:miter lim="800000"/>
                          <a:headEnd/>
                          <a:tailEnd/>
                        </a:ln>
                      </wps:spPr>
                      <wps:txbx>
                        <w:txbxContent>
                          <w:p w14:paraId="12BA3AD2" w14:textId="77777777" w:rsidR="001A3062" w:rsidRPr="002E5174" w:rsidRDefault="001A3062" w:rsidP="001A3062">
                            <w:pPr>
                              <w:pStyle w:val="Textbox"/>
                              <w:jc w:val="center"/>
                              <w:rPr>
                                <w:b/>
                                <w:bCs/>
                              </w:rPr>
                            </w:pPr>
                            <w:r>
                              <w:rPr>
                                <w:b/>
                                <w:bCs/>
                              </w:rPr>
                              <w:t>Zero Toxicity Values</w:t>
                            </w:r>
                          </w:p>
                          <w:p w14:paraId="0D6F3AFF" w14:textId="29086F5C" w:rsidR="001A3062" w:rsidRDefault="001A3062" w:rsidP="001A3062">
                            <w:pPr>
                              <w:pStyle w:val="Textbox0"/>
                            </w:pPr>
                            <w:r w:rsidRPr="0016649A">
                              <w:t xml:space="preserve">A toxicity value of zero is not an indication that the chemical is not hazardous, only that hazard data </w:t>
                            </w:r>
                            <w:proofErr w:type="gramStart"/>
                            <w:r w:rsidRPr="0016649A">
                              <w:t>have</w:t>
                            </w:r>
                            <w:proofErr w:type="gramEnd"/>
                            <w:r w:rsidRPr="0016649A">
                              <w:t xml:space="preserve"> not yet been found or developed for </w:t>
                            </w:r>
                            <w:r>
                              <w:t xml:space="preserve">that chemical in </w:t>
                            </w:r>
                            <w:r w:rsidRPr="0016649A">
                              <w:t xml:space="preserve">that organism or </w:t>
                            </w:r>
                            <w:r>
                              <w:t>route of exposure</w:t>
                            </w:r>
                            <w:r w:rsidRPr="0016649A">
                              <w:t xml:space="preserve"> (inhalation</w:t>
                            </w:r>
                            <w:r>
                              <w:t xml:space="preserve">, </w:t>
                            </w:r>
                            <w:r w:rsidRPr="0016649A">
                              <w:t>ingestion</w:t>
                            </w:r>
                            <w:r>
                              <w:t>, direct contact</w:t>
                            </w:r>
                            <w:r w:rsidRPr="0016649A">
                              <w:t>).</w:t>
                            </w:r>
                            <w:r>
                              <w:t xml:space="preserve"> </w:t>
                            </w:r>
                            <w:r w:rsidRPr="0016649A">
                              <w:t>The</w:t>
                            </w:r>
                            <w:r>
                              <w:t xml:space="preserve">refore, </w:t>
                            </w:r>
                            <w:proofErr w:type="gramStart"/>
                            <w:r>
                              <w:t xml:space="preserve">the </w:t>
                            </w:r>
                            <w:r w:rsidRPr="0016649A">
                              <w:t xml:space="preserve"> lack</w:t>
                            </w:r>
                            <w:proofErr w:type="gramEnd"/>
                            <w:r w:rsidRPr="0016649A">
                              <w:t xml:space="preserve"> of risk results for a </w:t>
                            </w:r>
                            <w:r>
                              <w:t xml:space="preserve">receptor or pathway </w:t>
                            </w:r>
                            <w:r w:rsidRPr="0016649A">
                              <w:t xml:space="preserve"> in the summary output table resulting from a zero toxicity value indicate an absence of toxicity data, not an absence of risk</w:t>
                            </w:r>
                            <w:r>
                              <w:t>.</w:t>
                            </w:r>
                          </w:p>
                        </w:txbxContent>
                      </wps:txbx>
                      <wps:bodyPr rot="0" vert="horz" wrap="square" lIns="91440" tIns="45720" rIns="91440" bIns="45720" anchor="t" anchorCtr="0">
                        <a:spAutoFit/>
                      </wps:bodyPr>
                    </wps:wsp>
                  </a:graphicData>
                </a:graphic>
              </wp:inline>
            </w:drawing>
          </mc:Choice>
          <mc:Fallback>
            <w:pict>
              <v:shape w14:anchorId="7BD471CE" id="_x0000_s1030" type="#_x0000_t202" style="width:468pt;height:6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" fillcolor="#d9e2f3 [660]">
                <v:textbox style="mso-fit-shape-to-text:t">
                  <w:txbxContent>
                    <w:p w14:paraId="12BA3AD2" w14:textId="77777777" w:rsidR="001A3062" w:rsidRPr="002E5174" w:rsidRDefault="001A3062" w:rsidP="001A3062">
                      <w:pPr>
                        <w:pStyle w:val="Textbox"/>
                        <w:jc w:val="center"/>
                        <w:rPr>
                          <w:b/>
                          <w:bCs/>
                        </w:rPr>
                      </w:pPr>
                      <w:r>
                        <w:rPr>
                          <w:b/>
                          <w:bCs/>
                        </w:rPr>
                        <w:t>Zero Toxicity Values</w:t>
                      </w:r>
                    </w:p>
                    <w:p w14:paraId="0D6F3AFF" w14:textId="29086F5C" w:rsidR="001A3062" w:rsidRDefault="001A3062" w:rsidP="001A3062">
                      <w:pPr>
                        <w:pStyle w:val="Textbox0"/>
                      </w:pPr>
                      <w:r w:rsidRPr="0016649A">
                        <w:t xml:space="preserve">A toxicity value of zero is not an indication that the chemical is not hazardous, only that hazard data </w:t>
                      </w:r>
                      <w:proofErr w:type="gramStart"/>
                      <w:r w:rsidRPr="0016649A">
                        <w:t>have</w:t>
                      </w:r>
                      <w:proofErr w:type="gramEnd"/>
                      <w:r w:rsidRPr="0016649A">
                        <w:t xml:space="preserve"> not yet been found or developed for </w:t>
                      </w:r>
                      <w:r>
                        <w:t xml:space="preserve">that chemical in </w:t>
                      </w:r>
                      <w:r w:rsidRPr="0016649A">
                        <w:t xml:space="preserve">that organism or </w:t>
                      </w:r>
                      <w:r>
                        <w:t>route of exposure</w:t>
                      </w:r>
                      <w:r w:rsidRPr="0016649A">
                        <w:t xml:space="preserve"> (inhalation</w:t>
                      </w:r>
                      <w:r>
                        <w:t xml:space="preserve">, </w:t>
                      </w:r>
                      <w:r w:rsidRPr="0016649A">
                        <w:t>ingestion</w:t>
                      </w:r>
                      <w:r>
                        <w:t>, direct contact</w:t>
                      </w:r>
                      <w:r w:rsidRPr="0016649A">
                        <w:t>).</w:t>
                      </w:r>
                      <w:r>
                        <w:t xml:space="preserve"> </w:t>
                      </w:r>
                      <w:r w:rsidRPr="0016649A">
                        <w:t>The</w:t>
                      </w:r>
                      <w:r>
                        <w:t xml:space="preserve">refore, </w:t>
                      </w:r>
                      <w:proofErr w:type="gramStart"/>
                      <w:r>
                        <w:t xml:space="preserve">the </w:t>
                      </w:r>
                      <w:r w:rsidRPr="0016649A">
                        <w:t xml:space="preserve"> lack</w:t>
                      </w:r>
                      <w:proofErr w:type="gramEnd"/>
                      <w:r w:rsidRPr="0016649A">
                        <w:t xml:space="preserve"> of risk results for a </w:t>
                      </w:r>
                      <w:r>
                        <w:t xml:space="preserve">receptor or pathway </w:t>
                      </w:r>
                      <w:r w:rsidRPr="0016649A">
                        <w:t xml:space="preserve"> in the summary output table resulting from a zero toxicity value indicate an absence of toxicity data, not an absence of risk</w:t>
                      </w:r>
                      <w:r>
                        <w:t>.</w:t>
                      </w:r>
                    </w:p>
                  </w:txbxContent>
                </v:textbox>
                <w10:anchorlock/>
              </v:shape>
            </w:pict>
          </mc:Fallback>
        </mc:AlternateContent>
      </w:r>
      <w:r w:rsidR="000F6815" w:rsidRPr="007A534B">
        <w:t xml:space="preserve"> </w:t>
      </w:r>
    </w:p>
    <w:p w14:paraId="7F04F641" w14:textId="77777777" w:rsidR="000F6815" w:rsidRPr="00286D3B" w:rsidRDefault="000F6815" w:rsidP="000F6815">
      <w:pPr>
        <w:pStyle w:val="BodyText"/>
      </w:pPr>
      <w:r w:rsidRPr="00286D3B">
        <w:lastRenderedPageBreak/>
        <w:t xml:space="preserve">Click on the </w:t>
      </w:r>
      <w:r w:rsidRPr="00286D3B">
        <w:rPr>
          <w:smallCaps/>
        </w:rPr>
        <w:t>Add Chemical</w:t>
      </w:r>
      <w:r w:rsidRPr="00286D3B">
        <w:t xml:space="preserve"> button at the bottom of the form to add the chemical and its properties to the database. If you have left log K</w:t>
      </w:r>
      <w:r w:rsidRPr="00286D3B">
        <w:rPr>
          <w:vertAlign w:val="subscript"/>
        </w:rPr>
        <w:t>ow</w:t>
      </w:r>
      <w:r w:rsidRPr="00286D3B">
        <w:t xml:space="preserve"> blank (not zero, which is a valid value), you will see a warning; you can click on </w:t>
      </w:r>
      <w:r w:rsidRPr="00286D3B">
        <w:rPr>
          <w:smallCaps/>
        </w:rPr>
        <w:t>Ok</w:t>
      </w:r>
      <w:r w:rsidRPr="00286D3B">
        <w:t xml:space="preserve"> to continue with log K</w:t>
      </w:r>
      <w:r w:rsidRPr="00286D3B">
        <w:rPr>
          <w:vertAlign w:val="subscript"/>
        </w:rPr>
        <w:t>ow</w:t>
      </w:r>
      <w:r w:rsidRPr="00286D3B">
        <w:t xml:space="preserve"> null or </w:t>
      </w:r>
      <w:r w:rsidRPr="00286D3B">
        <w:rPr>
          <w:smallCaps/>
        </w:rPr>
        <w:t>Cancel</w:t>
      </w:r>
      <w:r w:rsidRPr="00286D3B">
        <w:t xml:space="preserve"> to go back and add a value if the omission was inadvertent. A window will then pop up confirming that your data have been saved; click </w:t>
      </w:r>
      <w:r w:rsidRPr="00286D3B">
        <w:rPr>
          <w:smallCaps/>
        </w:rPr>
        <w:t>Ok</w:t>
      </w:r>
      <w:r w:rsidRPr="00286D3B">
        <w:t xml:space="preserve">. A second window will then appear with information about adding references and ecological toxicity values (which are not included on the </w:t>
      </w:r>
      <w:r w:rsidRPr="00286D3B">
        <w:rPr>
          <w:rStyle w:val="Button"/>
          <w:sz w:val="24"/>
        </w:rPr>
        <w:t>Add New Chemical</w:t>
      </w:r>
      <w:r w:rsidRPr="00286D3B">
        <w:t xml:space="preserve"> forms). Click </w:t>
      </w:r>
      <w:r w:rsidRPr="00286D3B">
        <w:rPr>
          <w:smallCaps/>
        </w:rPr>
        <w:t>Ok</w:t>
      </w:r>
      <w:r w:rsidRPr="00286D3B">
        <w:t xml:space="preserve"> to continue. The Tool will open the </w:t>
      </w:r>
      <w:r w:rsidRPr="00286D3B">
        <w:rPr>
          <w:smallCaps/>
        </w:rPr>
        <w:t>Edit Chemical Properties</w:t>
      </w:r>
      <w:r w:rsidRPr="00286D3B">
        <w:t xml:space="preserve"> screen for the new chemical, where you can enter references for the properties you just entered (required), revise any defaults or calculated values if you have data or can estimate them (optional), add aquatic degradation rates if data are available, and add receptor-specific ecological toxicity values (optional, but some must be added to obtain non-zero ecological risk results). The </w:t>
      </w:r>
      <w:r w:rsidRPr="00286D3B">
        <w:rPr>
          <w:smallCaps/>
        </w:rPr>
        <w:t>Edit Chemical Properties</w:t>
      </w:r>
      <w:r w:rsidRPr="00286D3B">
        <w:t xml:space="preserve"> screen is described in the next section.</w:t>
      </w:r>
    </w:p>
    <w:p w14:paraId="7C680CAD" w14:textId="77777777" w:rsidR="000F6815" w:rsidRPr="00286D3B" w:rsidRDefault="000F6815" w:rsidP="00911CBD">
      <w:pPr>
        <w:pStyle w:val="Heading3"/>
      </w:pPr>
      <w:bookmarkStart w:id="64" w:name="_Toc99449959"/>
      <w:bookmarkStart w:id="65" w:name="_Toc128041935"/>
      <w:r w:rsidRPr="00286D3B">
        <w:rPr>
          <w:noProof/>
          <w:lang w:eastAsia="en-US"/>
        </w:rPr>
        <mc:AlternateContent>
          <mc:Choice Requires="wps">
            <w:drawing>
              <wp:anchor distT="0" distB="0" distL="114300" distR="114300" simplePos="0" relativeHeight="251658243" behindDoc="0" locked="0" layoutInCell="1" allowOverlap="1" wp14:anchorId="510B84DB" wp14:editId="10F13CCB">
                <wp:simplePos x="0" y="0"/>
                <wp:positionH relativeFrom="margin">
                  <wp:align>right</wp:align>
                </wp:positionH>
                <wp:positionV relativeFrom="paragraph">
                  <wp:posOffset>238125</wp:posOffset>
                </wp:positionV>
                <wp:extent cx="2303780" cy="1698625"/>
                <wp:effectExtent l="0" t="0" r="20320" b="15875"/>
                <wp:wrapSquare wrapText="left"/>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3780" cy="1698625"/>
                        </a:xfrm>
                        <a:prstGeom prst="rect">
                          <a:avLst/>
                        </a:prstGeom>
                        <a:solidFill>
                          <a:schemeClr val="accent1">
                            <a:lumMod val="20000"/>
                            <a:lumOff val="80000"/>
                          </a:schemeClr>
                        </a:solidFill>
                        <a:ln w="9525">
                          <a:solidFill>
                            <a:srgbClr val="000000"/>
                          </a:solidFill>
                          <a:miter lim="800000"/>
                          <a:headEnd/>
                          <a:tailEnd/>
                        </a:ln>
                      </wps:spPr>
                      <wps:txbx>
                        <w:txbxContent>
                          <w:p w14:paraId="08F38757" w14:textId="77777777" w:rsidR="000F6815" w:rsidRDefault="000F6815" w:rsidP="000F6815">
                            <w:pPr>
                              <w:pStyle w:val="Textbox"/>
                            </w:pPr>
                            <w:r w:rsidRPr="00F27615">
                              <w:rPr>
                                <w:b/>
                                <w:bCs/>
                              </w:rPr>
                              <w:t>IMPORTANT!</w:t>
                            </w:r>
                            <w:r w:rsidRPr="00F27615">
                              <w:t xml:space="preserve"> Any modifications you make to the chemical data </w:t>
                            </w:r>
                            <w:r>
                              <w:t>are automatically saved</w:t>
                            </w:r>
                            <w:r w:rsidRPr="00F27615">
                              <w:t xml:space="preserve"> </w:t>
                            </w:r>
                            <w:r w:rsidRPr="00E2149D">
                              <w:t>in</w:t>
                            </w:r>
                            <w:r w:rsidRPr="00F27615">
                              <w:t xml:space="preserve"> the underlying database and will be used until you change them again or cho</w:t>
                            </w:r>
                            <w:r>
                              <w:t>o</w:t>
                            </w:r>
                            <w:r w:rsidRPr="00F27615">
                              <w:t xml:space="preserve">se explicitly to reset them to the original, default values. </w:t>
                            </w:r>
                          </w:p>
                          <w:p w14:paraId="019BC2C4" w14:textId="77777777" w:rsidR="000F6815" w:rsidRPr="00E2149D" w:rsidRDefault="000F6815" w:rsidP="000F6815">
                            <w:pPr>
                              <w:pStyle w:val="Textbox"/>
                            </w:pPr>
                            <w:r w:rsidRPr="00E2149D">
                              <w:t xml:space="preserve">See </w:t>
                            </w:r>
                            <w:r w:rsidRPr="00E2149D">
                              <w:rPr>
                                <w:b/>
                                <w:bCs/>
                              </w:rPr>
                              <w:t>Section 5.3</w:t>
                            </w:r>
                            <w:r w:rsidRPr="00E2149D">
                              <w:t xml:space="preserve"> for a discussion of how to save a version of the Tool with such changes while retaining an original version</w:t>
                            </w:r>
                            <w:r>
                              <w:t>;</w:t>
                            </w:r>
                            <w:r w:rsidRPr="00FD493D">
                              <w:t xml:space="preserve"> </w:t>
                            </w:r>
                            <w:r>
                              <w:t>you will need to prepare to do this BEFORE you change any configuration values.</w:t>
                            </w:r>
                          </w:p>
                          <w:p w14:paraId="4F8B887B" w14:textId="77777777" w:rsidR="000F6815" w:rsidRPr="00E2149D" w:rsidRDefault="000F6815" w:rsidP="000F6815">
                            <w:pPr>
                              <w:rPr>
                                <w:rFonts w:asciiTheme="minorBidi" w:hAnsiTheme="minorBidi"/>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0B84DB" id="_x0000_s1031" type="#_x0000_t202" style="position:absolute;left:0;text-align:left;margin-left:130.2pt;margin-top:18.75pt;width:181.4pt;height:133.75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" fillcolor="#d9e2f3 [660]">
                <v:textbox>
                  <w:txbxContent>
                    <w:p w14:paraId="08F38757" w14:textId="77777777" w:rsidR="000F6815" w:rsidRDefault="000F6815" w:rsidP="000F6815">
                      <w:pPr>
                        <w:pStyle w:val="Textbox"/>
                      </w:pPr>
                      <w:r w:rsidRPr="00F27615">
                        <w:rPr>
                          <w:b/>
                          <w:bCs/>
                        </w:rPr>
                        <w:t>IMPORTANT!</w:t>
                      </w:r>
                      <w:r w:rsidRPr="00F27615">
                        <w:t xml:space="preserve"> Any modifications you make to the chemical data </w:t>
                      </w:r>
                      <w:r>
                        <w:t>are automatically saved</w:t>
                      </w:r>
                      <w:r w:rsidRPr="00F27615">
                        <w:t xml:space="preserve"> </w:t>
                      </w:r>
                      <w:r w:rsidRPr="00E2149D">
                        <w:t>in</w:t>
                      </w:r>
                      <w:r w:rsidRPr="00F27615">
                        <w:t xml:space="preserve"> the underlying database and will be used until you change them again or cho</w:t>
                      </w:r>
                      <w:r>
                        <w:t>o</w:t>
                      </w:r>
                      <w:r w:rsidRPr="00F27615">
                        <w:t xml:space="preserve">se explicitly to reset them to the original, default values. </w:t>
                      </w:r>
                    </w:p>
                    <w:p w14:paraId="019BC2C4" w14:textId="77777777" w:rsidR="000F6815" w:rsidRPr="00E2149D" w:rsidRDefault="000F6815" w:rsidP="000F6815">
                      <w:pPr>
                        <w:pStyle w:val="Textbox"/>
                      </w:pPr>
                      <w:r w:rsidRPr="00E2149D">
                        <w:t xml:space="preserve">See </w:t>
                      </w:r>
                      <w:r w:rsidRPr="00E2149D">
                        <w:rPr>
                          <w:b/>
                          <w:bCs/>
                        </w:rPr>
                        <w:t>Section 5.3</w:t>
                      </w:r>
                      <w:r w:rsidRPr="00E2149D">
                        <w:t xml:space="preserve"> for a discussion of how to save a version of the Tool with such changes while retaining an original version</w:t>
                      </w:r>
                      <w:r>
                        <w:t>;</w:t>
                      </w:r>
                      <w:r w:rsidRPr="00FD493D">
                        <w:t xml:space="preserve"> </w:t>
                      </w:r>
                      <w:r>
                        <w:t>you will need to prepare to do this BEFORE you change any configuration values.</w:t>
                      </w:r>
                    </w:p>
                    <w:p w14:paraId="4F8B887B" w14:textId="77777777" w:rsidR="000F6815" w:rsidRPr="00E2149D" w:rsidRDefault="000F6815" w:rsidP="000F6815">
                      <w:pPr>
                        <w:rPr>
                          <w:rFonts w:asciiTheme="minorBidi" w:hAnsiTheme="minorBidi"/>
                          <w:sz w:val="18"/>
                          <w:szCs w:val="18"/>
                        </w:rPr>
                      </w:pPr>
                    </w:p>
                  </w:txbxContent>
                </v:textbox>
                <w10:wrap type="square" side="left" anchorx="margin"/>
              </v:shape>
            </w:pict>
          </mc:Fallback>
        </mc:AlternateContent>
      </w:r>
      <w:r w:rsidRPr="00286D3B">
        <w:t>3.2.3</w:t>
      </w:r>
      <w:r w:rsidRPr="00286D3B">
        <w:tab/>
        <w:t>View, Edit, and Delete Chemicals</w:t>
      </w:r>
      <w:bookmarkEnd w:id="64"/>
      <w:bookmarkEnd w:id="65"/>
    </w:p>
    <w:p w14:paraId="3EBB4CCC" w14:textId="77777777" w:rsidR="000F6815" w:rsidRPr="00286D3B" w:rsidRDefault="000F6815" w:rsidP="000F6815">
      <w:pPr>
        <w:pStyle w:val="BodyText"/>
        <w:keepNext/>
        <w:keepLines/>
      </w:pPr>
      <w:r w:rsidRPr="00286D3B">
        <w:t xml:space="preserve">Click on the </w:t>
      </w:r>
      <w:r w:rsidRPr="00286D3B">
        <w:rPr>
          <w:smallCaps/>
        </w:rPr>
        <w:t>View/Edit/Delete</w:t>
      </w:r>
      <w:r w:rsidRPr="00286D3B">
        <w:t xml:space="preserve"> button next to a chemical name on the </w:t>
      </w:r>
      <w:r w:rsidRPr="00286D3B">
        <w:rPr>
          <w:rStyle w:val="Button"/>
          <w:sz w:val="24"/>
        </w:rPr>
        <w:t>Chemicals</w:t>
      </w:r>
      <w:r w:rsidRPr="00286D3B">
        <w:t xml:space="preserve"> tab (see Figure </w:t>
      </w:r>
      <w:r>
        <w:t>8</w:t>
      </w:r>
      <w:r w:rsidRPr="00286D3B">
        <w:t xml:space="preserve">) to display the </w:t>
      </w:r>
      <w:r w:rsidRPr="00286D3B">
        <w:rPr>
          <w:rStyle w:val="Button"/>
          <w:sz w:val="24"/>
        </w:rPr>
        <w:t>Chemical Properties</w:t>
      </w:r>
      <w:r w:rsidRPr="00286D3B">
        <w:t xml:space="preserve"> screen, the top of which is shown in </w:t>
      </w:r>
      <w:r w:rsidRPr="00286D3B">
        <w:rPr>
          <w:b/>
          <w:bCs/>
        </w:rPr>
        <w:t>Figure 1</w:t>
      </w:r>
      <w:r>
        <w:rPr>
          <w:b/>
          <w:bCs/>
        </w:rPr>
        <w:t>2</w:t>
      </w:r>
      <w:r w:rsidRPr="00286D3B">
        <w:t xml:space="preserve">. Here you can </w:t>
      </w:r>
    </w:p>
    <w:p w14:paraId="327E0301" w14:textId="77777777" w:rsidR="000F6815" w:rsidRPr="00286D3B" w:rsidRDefault="000F6815" w:rsidP="00347221">
      <w:pPr>
        <w:pStyle w:val="ListBullet"/>
      </w:pPr>
      <w:r w:rsidRPr="00286D3B">
        <w:t xml:space="preserve">View and edit the chemical-specific data (built-in and user-added chemicals) </w:t>
      </w:r>
    </w:p>
    <w:p w14:paraId="27460F7D" w14:textId="77777777" w:rsidR="000F6815" w:rsidRPr="00286D3B" w:rsidRDefault="000F6815" w:rsidP="00347221">
      <w:pPr>
        <w:pStyle w:val="ListBullet"/>
      </w:pPr>
      <w:r w:rsidRPr="00286D3B">
        <w:t>Reset modified values to defaults (built-in chemicals only)</w:t>
      </w:r>
    </w:p>
    <w:p w14:paraId="45CCE4E2" w14:textId="77777777" w:rsidR="000F6815" w:rsidRPr="00286D3B" w:rsidRDefault="000F6815" w:rsidP="00347221">
      <w:pPr>
        <w:pStyle w:val="ListBulletlast"/>
      </w:pPr>
      <w:r w:rsidRPr="00286D3B">
        <w:t>Delete chemicals entirely (user-added only).</w:t>
      </w:r>
    </w:p>
    <w:p w14:paraId="60758DF6" w14:textId="77777777" w:rsidR="000F6815" w:rsidRPr="00286D3B" w:rsidRDefault="000F6815" w:rsidP="00AD7ABE">
      <w:pPr>
        <w:pStyle w:val="Tablesubheadleft"/>
      </w:pPr>
      <w:r w:rsidRPr="00286D3B">
        <w:t xml:space="preserve">(A) </w:t>
      </w:r>
      <w:r w:rsidRPr="00286D3B">
        <w:rPr>
          <w:smallCaps/>
        </w:rPr>
        <w:t>View</w:t>
      </w:r>
      <w:r w:rsidRPr="00286D3B">
        <w:t xml:space="preserve"> mode, built-in chemical</w:t>
      </w:r>
    </w:p>
    <w:p w14:paraId="18D40ABC" w14:textId="77777777" w:rsidR="000F6815" w:rsidRPr="00286D3B" w:rsidRDefault="000F6815" w:rsidP="000F6815">
      <w:pPr>
        <w:pStyle w:val="Insertfigure"/>
        <w:keepNext/>
        <w:keepLines/>
        <w:jc w:val="left"/>
        <w:rPr>
          <w:szCs w:val="24"/>
        </w:rPr>
      </w:pPr>
      <w:r w:rsidRPr="00286D3B">
        <w:rPr>
          <w:noProof/>
          <w:szCs w:val="24"/>
        </w:rPr>
        <w:drawing>
          <wp:inline distT="0" distB="0" distL="0" distR="0" wp14:anchorId="6015636A" wp14:editId="2F93CEC6">
            <wp:extent cx="5943600" cy="836878"/>
            <wp:effectExtent l="0" t="0" r="0" b="1905"/>
            <wp:docPr id="293" name="Picture 293" descr="A screen capture of the top of the View/Edit/Delete Chemical Properties window as it appears in View Model; it notes in red that &quot;All Fields are locked - Press Allow Edits to make chan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Picture 293" descr="A screen capture of the top of the View/Edit/Delete Chemical Properties window as it appears in View Model; it notes in red that &quot;All Fields are locked - Press Allow Edits to make changes."/>
                    <pic:cNvPicPr/>
                  </pic:nvPicPr>
                  <pic:blipFill rotWithShape="1">
                    <a:blip r:embed="rId32">
                      <a:extLst>
                        <a:ext uri="{28A0092B-C50C-407E-A947-70E740481C1C}">
                          <a14:useLocalDpi xmlns:a14="http://schemas.microsoft.com/office/drawing/2010/main" val="0"/>
                        </a:ext>
                      </a:extLst>
                    </a:blip>
                    <a:srcRect l="803" t="22043"/>
                    <a:stretch/>
                  </pic:blipFill>
                  <pic:spPr bwMode="auto">
                    <a:xfrm>
                      <a:off x="0" y="0"/>
                      <a:ext cx="5943600" cy="836878"/>
                    </a:xfrm>
                    <a:prstGeom prst="rect">
                      <a:avLst/>
                    </a:prstGeom>
                    <a:ln>
                      <a:noFill/>
                    </a:ln>
                    <a:extLst>
                      <a:ext uri="{53640926-AAD7-44D8-BBD7-CCE9431645EC}">
                        <a14:shadowObscured xmlns:a14="http://schemas.microsoft.com/office/drawing/2010/main"/>
                      </a:ext>
                    </a:extLst>
                  </pic:spPr>
                </pic:pic>
              </a:graphicData>
            </a:graphic>
          </wp:inline>
        </w:drawing>
      </w:r>
    </w:p>
    <w:p w14:paraId="19AC8526" w14:textId="77777777" w:rsidR="000F6815" w:rsidRPr="00286D3B" w:rsidRDefault="000F6815" w:rsidP="00AD7ABE">
      <w:pPr>
        <w:pStyle w:val="Tablesubheadleft"/>
      </w:pPr>
      <w:r w:rsidRPr="00286D3B">
        <w:t>(B)</w:t>
      </w:r>
      <w:r w:rsidRPr="00286D3B">
        <w:rPr>
          <w:smallCaps/>
        </w:rPr>
        <w:t xml:space="preserve"> Edit</w:t>
      </w:r>
      <w:r w:rsidRPr="00286D3B">
        <w:t xml:space="preserve"> mode, built-in chemical</w:t>
      </w:r>
    </w:p>
    <w:p w14:paraId="0A7CB4C9" w14:textId="77777777" w:rsidR="000F6815" w:rsidRPr="00286D3B" w:rsidRDefault="000F6815" w:rsidP="000F6815">
      <w:pPr>
        <w:pStyle w:val="Insertfigure"/>
        <w:keepNext/>
        <w:keepLines/>
        <w:jc w:val="left"/>
        <w:rPr>
          <w:szCs w:val="24"/>
        </w:rPr>
      </w:pPr>
      <w:r w:rsidRPr="00286D3B">
        <w:rPr>
          <w:noProof/>
          <w:szCs w:val="24"/>
        </w:rPr>
        <w:drawing>
          <wp:inline distT="0" distB="0" distL="0" distR="0" wp14:anchorId="54703FAB" wp14:editId="714776BC">
            <wp:extent cx="5943600" cy="529590"/>
            <wp:effectExtent l="0" t="0" r="0" b="3810"/>
            <wp:docPr id="302" name="Picture 302" descr="A screen capture of the top of the View/Edit/Delete Chemical Properties window as it appears after AllowEdits has been selected. The Allow Edits button disappears and the red text noting that fields are lock is replaced by green text noting &quot;Edits allowed - changes automatically sav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Picture 302" descr="A screen capture of the top of the View/Edit/Delete Chemical Properties window as it appears after AllowEdits has been selected. The Allow Edits button disappears and the red text noting that fields are lock is replaced by green text noting &quot;Edits allowed - changes automatically saved."/>
                    <pic:cNvPicPr/>
                  </pic:nvPicPr>
                  <pic:blipFill>
                    <a:blip r:embed="rId33">
                      <a:extLst>
                        <a:ext uri="{28A0092B-C50C-407E-A947-70E740481C1C}">
                          <a14:useLocalDpi xmlns:a14="http://schemas.microsoft.com/office/drawing/2010/main" val="0"/>
                        </a:ext>
                      </a:extLst>
                    </a:blip>
                    <a:stretch>
                      <a:fillRect/>
                    </a:stretch>
                  </pic:blipFill>
                  <pic:spPr>
                    <a:xfrm>
                      <a:off x="0" y="0"/>
                      <a:ext cx="5943600" cy="529590"/>
                    </a:xfrm>
                    <a:prstGeom prst="rect">
                      <a:avLst/>
                    </a:prstGeom>
                  </pic:spPr>
                </pic:pic>
              </a:graphicData>
            </a:graphic>
          </wp:inline>
        </w:drawing>
      </w:r>
    </w:p>
    <w:p w14:paraId="6D303C6A" w14:textId="77777777" w:rsidR="000F6815" w:rsidRPr="00286D3B" w:rsidRDefault="000F6815" w:rsidP="00AD7ABE">
      <w:pPr>
        <w:pStyle w:val="Tablesubheadleft"/>
      </w:pPr>
      <w:r w:rsidRPr="00286D3B">
        <w:t>(C)</w:t>
      </w:r>
      <w:r w:rsidRPr="00286D3B">
        <w:rPr>
          <w:smallCaps/>
        </w:rPr>
        <w:t xml:space="preserve"> View</w:t>
      </w:r>
      <w:r w:rsidRPr="00286D3B">
        <w:t xml:space="preserve"> mode, user-added chemical (</w:t>
      </w:r>
      <w:r w:rsidRPr="00286D3B">
        <w:rPr>
          <w:smallCaps/>
        </w:rPr>
        <w:t>Delete</w:t>
      </w:r>
      <w:r w:rsidRPr="00286D3B">
        <w:t xml:space="preserve"> </w:t>
      </w:r>
      <w:r w:rsidRPr="00286D3B">
        <w:rPr>
          <w:smallCaps/>
        </w:rPr>
        <w:t>Chemical</w:t>
      </w:r>
      <w:r w:rsidRPr="00286D3B">
        <w:t xml:space="preserve"> button visible)</w:t>
      </w:r>
    </w:p>
    <w:p w14:paraId="6E8A8D97" w14:textId="77777777" w:rsidR="000F6815" w:rsidRPr="00286D3B" w:rsidRDefault="000F6815" w:rsidP="000F6815">
      <w:pPr>
        <w:pStyle w:val="Insertfigure"/>
        <w:jc w:val="left"/>
        <w:rPr>
          <w:szCs w:val="24"/>
        </w:rPr>
      </w:pPr>
      <w:r w:rsidRPr="00286D3B">
        <w:rPr>
          <w:noProof/>
          <w:szCs w:val="24"/>
        </w:rPr>
        <w:drawing>
          <wp:inline distT="0" distB="0" distL="0" distR="0" wp14:anchorId="5DA2EE8D" wp14:editId="4EA6728F">
            <wp:extent cx="5943600" cy="516890"/>
            <wp:effectExtent l="0" t="0" r="0" b="0"/>
            <wp:docPr id="303" name="Picture 303" descr="A screen capture of the top of the View/Edit/Delete Chemical Properties window as it appears in View Mode for a user added chemical: in addition to the components described above, it also has a Delete Chemical button that is absent from the screen for built-in chemic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 name="Picture 303" descr="A screen capture of the top of the View/Edit/Delete Chemical Properties window as it appears in View Mode for a user added chemical: in addition to the components described above, it also has a Delete Chemical button that is absent from the screen for built-in chemicals."/>
                    <pic:cNvPicPr/>
                  </pic:nvPicPr>
                  <pic:blipFill>
                    <a:blip r:embed="rId34">
                      <a:extLst>
                        <a:ext uri="{28A0092B-C50C-407E-A947-70E740481C1C}">
                          <a14:useLocalDpi xmlns:a14="http://schemas.microsoft.com/office/drawing/2010/main" val="0"/>
                        </a:ext>
                      </a:extLst>
                    </a:blip>
                    <a:stretch>
                      <a:fillRect/>
                    </a:stretch>
                  </pic:blipFill>
                  <pic:spPr>
                    <a:xfrm>
                      <a:off x="0" y="0"/>
                      <a:ext cx="5943600" cy="516890"/>
                    </a:xfrm>
                    <a:prstGeom prst="rect">
                      <a:avLst/>
                    </a:prstGeom>
                  </pic:spPr>
                </pic:pic>
              </a:graphicData>
            </a:graphic>
          </wp:inline>
        </w:drawing>
      </w:r>
    </w:p>
    <w:p w14:paraId="5466C706" w14:textId="77777777" w:rsidR="000F6815" w:rsidRPr="00286D3B" w:rsidRDefault="000F6815" w:rsidP="000F6815">
      <w:pPr>
        <w:pStyle w:val="Figurecaption"/>
      </w:pPr>
      <w:bookmarkStart w:id="66" w:name="_Toc92366069"/>
      <w:bookmarkStart w:id="67" w:name="_Toc103854355"/>
      <w:r w:rsidRPr="00286D3B">
        <w:t>Figure 1</w:t>
      </w:r>
      <w:r>
        <w:t>2</w:t>
      </w:r>
      <w:r w:rsidRPr="00286D3B">
        <w:t xml:space="preserve">. </w:t>
      </w:r>
      <w:r w:rsidRPr="00286D3B">
        <w:rPr>
          <w:smallCaps/>
        </w:rPr>
        <w:t>Chemical Properties</w:t>
      </w:r>
      <w:r w:rsidRPr="00286D3B">
        <w:t xml:space="preserve"> screen header: in (A) </w:t>
      </w:r>
      <w:r w:rsidRPr="00286D3B">
        <w:rPr>
          <w:smallCaps/>
        </w:rPr>
        <w:t>View</w:t>
      </w:r>
      <w:r w:rsidRPr="00286D3B">
        <w:t xml:space="preserve"> mode for a built-in chemical, (B) </w:t>
      </w:r>
      <w:r w:rsidRPr="00286D3B">
        <w:rPr>
          <w:smallCaps/>
        </w:rPr>
        <w:t>Edit</w:t>
      </w:r>
      <w:r w:rsidRPr="00286D3B">
        <w:t xml:space="preserve"> mode for a built-in chemical, and (C) </w:t>
      </w:r>
      <w:r w:rsidRPr="00286D3B">
        <w:rPr>
          <w:smallCaps/>
        </w:rPr>
        <w:t>View</w:t>
      </w:r>
      <w:r w:rsidRPr="00286D3B">
        <w:t xml:space="preserve"> mode for a user-added chemical (</w:t>
      </w:r>
      <w:r w:rsidRPr="00286D3B">
        <w:rPr>
          <w:smallCaps/>
        </w:rPr>
        <w:t>Delete</w:t>
      </w:r>
      <w:r w:rsidRPr="00286D3B">
        <w:t xml:space="preserve"> </w:t>
      </w:r>
      <w:r w:rsidRPr="00286D3B">
        <w:rPr>
          <w:smallCaps/>
        </w:rPr>
        <w:t>Chemical</w:t>
      </w:r>
      <w:r w:rsidRPr="00286D3B">
        <w:t xml:space="preserve"> button visible).</w:t>
      </w:r>
      <w:bookmarkEnd w:id="66"/>
      <w:bookmarkEnd w:id="67"/>
    </w:p>
    <w:p w14:paraId="05EE240C" w14:textId="77777777" w:rsidR="000F6815" w:rsidRPr="00286D3B" w:rsidRDefault="000F6815" w:rsidP="000F6815">
      <w:pPr>
        <w:pStyle w:val="BodyText"/>
      </w:pPr>
      <w:r w:rsidRPr="00286D3B">
        <w:t xml:space="preserve">When you first open this screen, it will be in </w:t>
      </w:r>
      <w:r w:rsidRPr="00286D3B">
        <w:rPr>
          <w:rStyle w:val="Button"/>
          <w:sz w:val="24"/>
        </w:rPr>
        <w:t>View</w:t>
      </w:r>
      <w:r w:rsidRPr="00286D3B">
        <w:t xml:space="preserve"> mode (top of Figure 1</w:t>
      </w:r>
      <w:r>
        <w:t>2</w:t>
      </w:r>
      <w:r w:rsidRPr="00286D3B">
        <w:t xml:space="preserve">): the data fields are locked to prevent accidental changes and cannot be edited. When the fields are locked, there will be an </w:t>
      </w:r>
      <w:r w:rsidRPr="00286D3B">
        <w:rPr>
          <w:rStyle w:val="Button"/>
          <w:sz w:val="24"/>
        </w:rPr>
        <w:t>Allow Edits</w:t>
      </w:r>
      <w:r w:rsidRPr="00286D3B">
        <w:t xml:space="preserve"> button and a red warning that the fields are locked in the upper left corner of the screen. If you just want to view the data, leave it in view mode. If you want to edit or add data, click on the </w:t>
      </w:r>
      <w:r w:rsidRPr="00286D3B">
        <w:rPr>
          <w:rStyle w:val="Button"/>
          <w:sz w:val="24"/>
        </w:rPr>
        <w:t>Allow Edits</w:t>
      </w:r>
      <w:r w:rsidRPr="00286D3B">
        <w:t xml:space="preserve"> button. This will place you in </w:t>
      </w:r>
      <w:r w:rsidRPr="00286D3B">
        <w:rPr>
          <w:rStyle w:val="Button"/>
          <w:sz w:val="24"/>
        </w:rPr>
        <w:t>Edit</w:t>
      </w:r>
      <w:r w:rsidRPr="00286D3B">
        <w:t xml:space="preserve"> mode (center of Figure 1</w:t>
      </w:r>
      <w:r>
        <w:t>2</w:t>
      </w:r>
      <w:r w:rsidRPr="00286D3B">
        <w:t xml:space="preserve">); </w:t>
      </w:r>
      <w:r w:rsidRPr="00286D3B">
        <w:lastRenderedPageBreak/>
        <w:t xml:space="preserve">the </w:t>
      </w:r>
      <w:r w:rsidRPr="00286D3B">
        <w:rPr>
          <w:rStyle w:val="Button"/>
          <w:sz w:val="24"/>
        </w:rPr>
        <w:t>Allow Edits</w:t>
      </w:r>
      <w:r w:rsidRPr="00286D3B">
        <w:t xml:space="preserve"> button will no longer be displayed, and the red “All fields are locked” warning will be replaced with “Edits allowed – changes automatically saved” in green. The individual tabs showing the data you can edit are described below. All changes are saved immediately and automatically in </w:t>
      </w:r>
      <w:r w:rsidRPr="00286D3B">
        <w:rPr>
          <w:rStyle w:val="Button"/>
          <w:sz w:val="24"/>
        </w:rPr>
        <w:t>Edit</w:t>
      </w:r>
      <w:r w:rsidRPr="00286D3B">
        <w:t xml:space="preserve"> mode.</w:t>
      </w:r>
    </w:p>
    <w:p w14:paraId="1BE9A54C" w14:textId="77777777" w:rsidR="000F6815" w:rsidRPr="00286D3B" w:rsidRDefault="000F6815" w:rsidP="000F6815">
      <w:pPr>
        <w:pStyle w:val="BodyText"/>
      </w:pPr>
      <w:r w:rsidRPr="00286D3B">
        <w:t>If the chemical you have chosen to view is a user-added chemical (bottom of Figure 1</w:t>
      </w:r>
      <w:r>
        <w:t>2</w:t>
      </w:r>
      <w:r w:rsidRPr="00286D3B">
        <w:t xml:space="preserve">), the </w:t>
      </w:r>
      <w:proofErr w:type="spellStart"/>
      <w:r w:rsidRPr="00286D3B">
        <w:rPr>
          <w:rStyle w:val="Button"/>
          <w:sz w:val="24"/>
        </w:rPr>
        <w:t>UserAdded</w:t>
      </w:r>
      <w:proofErr w:type="spellEnd"/>
      <w:r w:rsidRPr="00286D3B">
        <w:t xml:space="preserve"> checkbox below the locked message will be checked, and the </w:t>
      </w:r>
      <w:r w:rsidRPr="00286D3B">
        <w:rPr>
          <w:rStyle w:val="Button"/>
          <w:sz w:val="24"/>
        </w:rPr>
        <w:t>Delete Chemical</w:t>
      </w:r>
      <w:r w:rsidRPr="00286D3B">
        <w:t xml:space="preserve"> button will be displayed below the </w:t>
      </w:r>
      <w:r w:rsidRPr="00286D3B">
        <w:rPr>
          <w:rStyle w:val="Button"/>
          <w:sz w:val="24"/>
        </w:rPr>
        <w:t>Allow Edits</w:t>
      </w:r>
      <w:r w:rsidRPr="00286D3B">
        <w:t xml:space="preserve"> button. (For built-in chemicals, the </w:t>
      </w:r>
      <w:r w:rsidRPr="00286D3B">
        <w:rPr>
          <w:rStyle w:val="Button"/>
          <w:sz w:val="24"/>
        </w:rPr>
        <w:t>Delete Chemical</w:t>
      </w:r>
      <w:r w:rsidRPr="00286D3B">
        <w:t xml:space="preserve"> button is not displayed, and a message notes that only user-added chemicals can be deleted, as shown in the top and center panes of Figure 1</w:t>
      </w:r>
      <w:r>
        <w:t>2</w:t>
      </w:r>
      <w:r w:rsidRPr="00286D3B">
        <w:t xml:space="preserve">). Click on the </w:t>
      </w:r>
      <w:r w:rsidRPr="00286D3B">
        <w:rPr>
          <w:rStyle w:val="Button"/>
          <w:sz w:val="24"/>
        </w:rPr>
        <w:t>Delete Chemical</w:t>
      </w:r>
      <w:r w:rsidRPr="00286D3B">
        <w:t xml:space="preserve"> button to delete the chemical completely from the database. The Tool will ask for confirmation; click </w:t>
      </w:r>
      <w:r w:rsidRPr="00286D3B">
        <w:rPr>
          <w:rStyle w:val="Button"/>
          <w:sz w:val="24"/>
        </w:rPr>
        <w:t>Yes</w:t>
      </w:r>
      <w:r w:rsidRPr="00286D3B">
        <w:t xml:space="preserve"> to delete (this cannot be undone) and close the </w:t>
      </w:r>
      <w:r w:rsidRPr="00286D3B">
        <w:rPr>
          <w:rStyle w:val="Button"/>
          <w:sz w:val="24"/>
        </w:rPr>
        <w:t>Chemical</w:t>
      </w:r>
      <w:r w:rsidRPr="00286D3B">
        <w:t xml:space="preserve"> </w:t>
      </w:r>
      <w:r w:rsidRPr="00286D3B">
        <w:rPr>
          <w:rStyle w:val="Button"/>
          <w:sz w:val="24"/>
        </w:rPr>
        <w:t>Properties</w:t>
      </w:r>
      <w:r w:rsidRPr="00286D3B">
        <w:t xml:space="preserve"> screen, </w:t>
      </w:r>
      <w:r w:rsidRPr="00286D3B">
        <w:rPr>
          <w:rStyle w:val="Button"/>
          <w:sz w:val="24"/>
        </w:rPr>
        <w:t>No</w:t>
      </w:r>
      <w:r w:rsidRPr="00286D3B">
        <w:t xml:space="preserve"> to keep the chemical and close the </w:t>
      </w:r>
      <w:r w:rsidRPr="00286D3B">
        <w:rPr>
          <w:rStyle w:val="Button"/>
          <w:sz w:val="24"/>
        </w:rPr>
        <w:t>Chemical</w:t>
      </w:r>
      <w:r w:rsidRPr="00286D3B">
        <w:t xml:space="preserve"> </w:t>
      </w:r>
      <w:r w:rsidRPr="00286D3B">
        <w:rPr>
          <w:rStyle w:val="Button"/>
          <w:sz w:val="24"/>
        </w:rPr>
        <w:t>Properties</w:t>
      </w:r>
      <w:r w:rsidRPr="00286D3B">
        <w:t xml:space="preserve"> screen, and </w:t>
      </w:r>
      <w:r w:rsidRPr="00286D3B">
        <w:rPr>
          <w:rStyle w:val="Button"/>
          <w:sz w:val="24"/>
        </w:rPr>
        <w:t>Cancel</w:t>
      </w:r>
      <w:r w:rsidRPr="00286D3B">
        <w:t xml:space="preserve"> to keep the chemical and remain on the </w:t>
      </w:r>
      <w:r w:rsidRPr="00286D3B">
        <w:rPr>
          <w:rStyle w:val="Button"/>
          <w:sz w:val="24"/>
        </w:rPr>
        <w:t>Chemical</w:t>
      </w:r>
      <w:r w:rsidRPr="00286D3B">
        <w:t xml:space="preserve"> </w:t>
      </w:r>
      <w:r w:rsidRPr="00286D3B">
        <w:rPr>
          <w:rStyle w:val="Button"/>
          <w:sz w:val="24"/>
        </w:rPr>
        <w:t>Properties</w:t>
      </w:r>
      <w:r w:rsidRPr="00286D3B">
        <w:t xml:space="preserve"> screen,</w:t>
      </w:r>
    </w:p>
    <w:p w14:paraId="6D770C47" w14:textId="77777777" w:rsidR="000F6815" w:rsidRPr="00286D3B" w:rsidRDefault="000F6815" w:rsidP="000F6815">
      <w:pPr>
        <w:pStyle w:val="BodyText"/>
      </w:pPr>
      <w:r w:rsidRPr="00286D3B">
        <w:t xml:space="preserve">The chemical-specific data are organized into three tabs: </w:t>
      </w:r>
      <w:r w:rsidRPr="00286D3B">
        <w:rPr>
          <w:rStyle w:val="Button"/>
          <w:sz w:val="24"/>
        </w:rPr>
        <w:t>Chemical/Physical Properties</w:t>
      </w:r>
      <w:r w:rsidRPr="00286D3B">
        <w:t xml:space="preserve">, </w:t>
      </w:r>
      <w:r w:rsidRPr="00286D3B">
        <w:rPr>
          <w:rStyle w:val="Button"/>
          <w:sz w:val="24"/>
        </w:rPr>
        <w:t>Ecological BAFs</w:t>
      </w:r>
      <w:r w:rsidRPr="00286D3B">
        <w:t>, and</w:t>
      </w:r>
      <w:r w:rsidRPr="00286D3B">
        <w:rPr>
          <w:rStyle w:val="Button"/>
          <w:sz w:val="24"/>
        </w:rPr>
        <w:t xml:space="preserve"> Ecological Toxicity values</w:t>
      </w:r>
      <w:r w:rsidRPr="00286D3B">
        <w:t>.</w:t>
      </w:r>
      <w:r w:rsidRPr="00286D3B">
        <w:rPr>
          <w:b/>
          <w:bCs/>
        </w:rPr>
        <w:t xml:space="preserve"> </w:t>
      </w:r>
      <w:r w:rsidRPr="00286D3B">
        <w:t xml:space="preserve">Each tab shows a list of properties, the current value, the units and allowable range, a comment, a checkbox indicating whether you have modified the value, and a reference. The references are a short citation; </w:t>
      </w:r>
      <w:r w:rsidRPr="00286D3B">
        <w:rPr>
          <w:b/>
          <w:bCs/>
        </w:rPr>
        <w:t>Section 7</w:t>
      </w:r>
      <w:r w:rsidRPr="00286D3B">
        <w:t xml:space="preserve"> contains a list of full citations for all references used in the database, sorted by this short citation. Note that human health toxicity values and reference ecological benchmark doses are found on the </w:t>
      </w:r>
      <w:r w:rsidRPr="00286D3B">
        <w:rPr>
          <w:rStyle w:val="Button"/>
          <w:sz w:val="24"/>
        </w:rPr>
        <w:t>Chemical/Physical Properties</w:t>
      </w:r>
      <w:r w:rsidRPr="00286D3B">
        <w:t xml:space="preserve"> tab, while concentration-based ecological toxicity values as well as receptor-specific benchmark doses for various mammal and bird species (for which there may be multiple receptors with different toxicity values) are found on the </w:t>
      </w:r>
      <w:r w:rsidRPr="00286D3B">
        <w:rPr>
          <w:rStyle w:val="Button"/>
          <w:sz w:val="24"/>
        </w:rPr>
        <w:t>Ecological Toxicity values</w:t>
      </w:r>
      <w:r w:rsidRPr="00286D3B">
        <w:t xml:space="preserve"> tab. The benchmark doses for mammal and bird receptors are scaled from the reference benchmarks in the </w:t>
      </w:r>
      <w:r w:rsidRPr="00286D3B">
        <w:rPr>
          <w:rStyle w:val="Button"/>
          <w:sz w:val="24"/>
        </w:rPr>
        <w:t>Chemical/Physical Properties</w:t>
      </w:r>
      <w:r w:rsidRPr="00286D3B">
        <w:t xml:space="preserve"> tab; see </w:t>
      </w:r>
      <w:r w:rsidRPr="00286D3B">
        <w:rPr>
          <w:b/>
          <w:bCs/>
        </w:rPr>
        <w:t>Appendix D</w:t>
      </w:r>
      <w:r w:rsidRPr="00286D3B">
        <w:t xml:space="preserve"> for more details on ecological benchmark scaling.</w:t>
      </w:r>
    </w:p>
    <w:p w14:paraId="0B1EFE6D" w14:textId="77777777" w:rsidR="000F6815" w:rsidRPr="00286D3B" w:rsidRDefault="000F6815" w:rsidP="000F6815">
      <w:pPr>
        <w:pStyle w:val="BodyText"/>
      </w:pPr>
      <w:r w:rsidRPr="00286D3B">
        <w:t>Use the inner scroll bar on the right to scroll through the list of properties on a tab. Click in a box to change the value or comment. You can also tab through the entry fields. For each property, you can change the value (which may be entered in either standard or scientific notation) and add a comment. The comment is required and should note the source and any assumptions or surrogates of values for chemicals you have added or values you have changed. The User Modified check box under the range for each property will be checked if you change a value, for both built-in and user-added chemicals. This way, you can see if you have changed a value on a user-added chemical after adding it (e.g., if you change a calculated or default value). In addition, the reference will be changed to “User supplied.”</w:t>
      </w:r>
    </w:p>
    <w:p w14:paraId="3F134E2D" w14:textId="77777777" w:rsidR="000F6815" w:rsidRPr="00286D3B" w:rsidRDefault="000F6815" w:rsidP="000F6815">
      <w:pPr>
        <w:pStyle w:val="BodyText"/>
      </w:pPr>
      <w:r w:rsidRPr="00286D3B">
        <w:t xml:space="preserve">On all tabs, be sure to enter new values in the units shown—the units cannot be modified. If your source does not report values in the same units, you will need to convert the reported value to the units required by the Tool. Entering data that are not in the units shown will produce erroneous risk results. You must also enter a value within the range specified in the entry screen to the right of the value field. If you enter a value outside that range, it will be reset to the minimum or maximum and you will see a warning that this has been done. You can either leave the reset value or, if your entry was a typo and the minimum or maximum is not appropriate, you can correct it after clicking on </w:t>
      </w:r>
      <w:r w:rsidRPr="00286D3B">
        <w:rPr>
          <w:rStyle w:val="Button"/>
          <w:sz w:val="24"/>
        </w:rPr>
        <w:t>OK</w:t>
      </w:r>
      <w:r w:rsidRPr="00286D3B">
        <w:t xml:space="preserve"> to dismiss the warning.</w:t>
      </w:r>
    </w:p>
    <w:p w14:paraId="62AADF20" w14:textId="77777777" w:rsidR="000F6815" w:rsidRPr="00286D3B" w:rsidRDefault="000F6815" w:rsidP="000F6815">
      <w:pPr>
        <w:pStyle w:val="BodyText"/>
      </w:pPr>
      <w:r w:rsidRPr="00286D3B">
        <w:lastRenderedPageBreak/>
        <w:t xml:space="preserve">If you have just added a new chemical and been brought to this screen, you will need to enter references (in the comments field) on the </w:t>
      </w:r>
      <w:r w:rsidRPr="00286D3B">
        <w:rPr>
          <w:rStyle w:val="Button"/>
          <w:sz w:val="24"/>
        </w:rPr>
        <w:t>Chemical/Physical Properties</w:t>
      </w:r>
      <w:r w:rsidRPr="00286D3B">
        <w:t xml:space="preserve"> and </w:t>
      </w:r>
      <w:r w:rsidRPr="00286D3B">
        <w:rPr>
          <w:rStyle w:val="Button"/>
          <w:sz w:val="24"/>
        </w:rPr>
        <w:t xml:space="preserve">Ecological BAFs/BCFs </w:t>
      </w:r>
      <w:r w:rsidRPr="00286D3B">
        <w:t xml:space="preserve">tabs, and values and references on the </w:t>
      </w:r>
      <w:r w:rsidRPr="00286D3B">
        <w:rPr>
          <w:rStyle w:val="Button"/>
          <w:sz w:val="24"/>
        </w:rPr>
        <w:t xml:space="preserve">Ecological Toxicity values </w:t>
      </w:r>
      <w:r w:rsidRPr="00286D3B">
        <w:t>tab.</w:t>
      </w:r>
      <w:bookmarkStart w:id="68" w:name="_Toc453759994"/>
      <w:r w:rsidRPr="00286D3B">
        <w:t xml:space="preserve"> </w:t>
      </w:r>
    </w:p>
    <w:p w14:paraId="503EB31A" w14:textId="77777777" w:rsidR="000F6815" w:rsidRPr="00286D3B" w:rsidRDefault="000F6815" w:rsidP="000F6815">
      <w:pPr>
        <w:pStyle w:val="BodyText"/>
      </w:pPr>
      <w:r w:rsidRPr="00605603">
        <w:rPr>
          <w:rStyle w:val="Button"/>
          <w:b/>
          <w:bCs/>
          <w:noProof/>
          <w:sz w:val="24"/>
        </w:rPr>
        <mc:AlternateContent>
          <mc:Choice Requires="wps">
            <w:drawing>
              <wp:anchor distT="45720" distB="45720" distL="114300" distR="114300" simplePos="0" relativeHeight="251658248" behindDoc="0" locked="0" layoutInCell="1" allowOverlap="1" wp14:anchorId="6285C1E5" wp14:editId="7F1D3B65">
                <wp:simplePos x="0" y="0"/>
                <wp:positionH relativeFrom="margin">
                  <wp:align>right</wp:align>
                </wp:positionH>
                <wp:positionV relativeFrom="paragraph">
                  <wp:posOffset>34025</wp:posOffset>
                </wp:positionV>
                <wp:extent cx="2360930" cy="1404620"/>
                <wp:effectExtent l="0" t="0" r="22860" b="27305"/>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chemeClr val="accent1">
                            <a:lumMod val="20000"/>
                            <a:lumOff val="80000"/>
                          </a:schemeClr>
                        </a:solidFill>
                        <a:ln w="9525">
                          <a:solidFill>
                            <a:srgbClr val="000000"/>
                          </a:solidFill>
                          <a:miter lim="800000"/>
                          <a:headEnd/>
                          <a:tailEnd/>
                        </a:ln>
                      </wps:spPr>
                      <wps:txbx>
                        <w:txbxContent>
                          <w:p w14:paraId="0DAD5915" w14:textId="77777777" w:rsidR="000F6815" w:rsidRDefault="000F6815" w:rsidP="000F6815">
                            <w:pPr>
                              <w:pStyle w:val="Textboxheading"/>
                            </w:pPr>
                            <w:r>
                              <w:t>Uptake Factors</w:t>
                            </w:r>
                          </w:p>
                          <w:p w14:paraId="4E3F2BDB" w14:textId="194AE08E" w:rsidR="000F6815" w:rsidRDefault="000F6815" w:rsidP="000F6815">
                            <w:pPr>
                              <w:pStyle w:val="Textbox0"/>
                            </w:pPr>
                            <w:r>
                              <w:t>Please note that this User</w:t>
                            </w:r>
                            <w:r w:rsidR="001A3062">
                              <w:t>’</w:t>
                            </w:r>
                            <w:r>
                              <w:t>s Guide is written for a varied audience and that the terminology used by environmental toxicologists continues to evolve. For these reasons this Guide uses BCF/BAF</w:t>
                            </w:r>
                            <w:r w:rsidR="00973056">
                              <w:t xml:space="preserve"> </w:t>
                            </w:r>
                            <w:r>
                              <w:t>to include the multitude of approaches and computations used to quantify the movement of chemicals from a surrounding medium (air, soil, sediment, water) into living organisms. These may include bioaccumulation, bioconcentration, biomagnification, and biotransfer factors. A tiered approach is considered when using measured or modeled bioaccumulation, bioconcentration, biomagnification, and biotransfer factors.</w:t>
                            </w:r>
                            <w:r w:rsidDel="009050FB">
                              <w:t xml:space="preserve">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6285C1E5" id="_x0000_s1032" type="#_x0000_t202" style="position:absolute;margin-left:134.7pt;margin-top:2.7pt;width:185.9pt;height:110.6pt;z-index:251658248;visibility:visible;mso-wrap-style:square;mso-width-percent:400;mso-height-percent:200;mso-wrap-distance-left:9pt;mso-wrap-distance-top:3.6pt;mso-wrap-distance-right:9pt;mso-wrap-distance-bottom:3.6pt;mso-position-horizontal:right;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" fillcolor="#d9e2f3 [660]">
                <v:textbox style="mso-fit-shape-to-text:t">
                  <w:txbxContent>
                    <w:p w14:paraId="0DAD5915" w14:textId="77777777" w:rsidR="000F6815" w:rsidRDefault="000F6815" w:rsidP="000F6815">
                      <w:pPr>
                        <w:pStyle w:val="Textboxheading"/>
                      </w:pPr>
                      <w:r>
                        <w:t>Uptake Factors</w:t>
                      </w:r>
                    </w:p>
                    <w:p w14:paraId="4E3F2BDB" w14:textId="194AE08E" w:rsidR="000F6815" w:rsidRDefault="000F6815" w:rsidP="000F6815">
                      <w:pPr>
                        <w:pStyle w:val="Textbox0"/>
                      </w:pPr>
                      <w:r>
                        <w:t>Please note that this User</w:t>
                      </w:r>
                      <w:r w:rsidR="001A3062">
                        <w:t>’</w:t>
                      </w:r>
                      <w:r>
                        <w:t>s Guide is written for a varied audience and that the terminology used by environmental toxicologists continues to evolve. For these reasons this Guide uses BCF/BAF</w:t>
                      </w:r>
                      <w:r w:rsidR="00973056">
                        <w:t xml:space="preserve"> </w:t>
                      </w:r>
                      <w:r>
                        <w:t>to include the multitude of approaches and computations used to quantify the movement of chemicals from a surrounding medium (air, soil, sediment, water) into living organisms. These may include bioaccumulation, bioconcentration, biomagnification, and biotransfer factors. A tiered approach is considered when using measured or modeled bioaccumulation, bioconcentration, biomagnification, and biotransfer factors.</w:t>
                      </w:r>
                      <w:r w:rsidDel="009050FB">
                        <w:t xml:space="preserve"> </w:t>
                      </w:r>
                    </w:p>
                  </w:txbxContent>
                </v:textbox>
                <w10:wrap type="square" anchorx="margin"/>
              </v:shape>
            </w:pict>
          </mc:Fallback>
        </mc:AlternateContent>
      </w:r>
      <w:r w:rsidRPr="00286D3B">
        <w:rPr>
          <w:rStyle w:val="Button"/>
          <w:b/>
          <w:bCs/>
          <w:sz w:val="24"/>
        </w:rPr>
        <w:t>Chemical/Physical Properties</w:t>
      </w:r>
      <w:r w:rsidRPr="00286D3B">
        <w:rPr>
          <w:b/>
          <w:bCs/>
        </w:rPr>
        <w:t xml:space="preserve"> tab:</w:t>
      </w:r>
      <w:r w:rsidRPr="00286D3B">
        <w:t xml:space="preserve"> This tab (</w:t>
      </w:r>
      <w:r w:rsidRPr="00286D3B">
        <w:rPr>
          <w:b/>
          <w:bCs/>
        </w:rPr>
        <w:t>Figure 1</w:t>
      </w:r>
      <w:r>
        <w:rPr>
          <w:b/>
          <w:bCs/>
        </w:rPr>
        <w:t>3</w:t>
      </w:r>
      <w:r w:rsidRPr="00286D3B">
        <w:t>) shows chemical/physical properties (including aquatic degradation rates), BCFs</w:t>
      </w:r>
      <w:r>
        <w:t>/BAFs</w:t>
      </w:r>
      <w:r w:rsidRPr="00286D3B">
        <w:t xml:space="preserve"> for human pathways, and human toxicity values in alphabetical order by the </w:t>
      </w:r>
      <w:r w:rsidRPr="00286D3B">
        <w:rPr>
          <w:rStyle w:val="Button"/>
          <w:sz w:val="24"/>
        </w:rPr>
        <w:t>Model Code</w:t>
      </w:r>
      <w:r w:rsidRPr="00286D3B">
        <w:t xml:space="preserve">, which is a short property name (e.g., Henry’s law constant is alphabetized by HLC, its </w:t>
      </w:r>
      <w:r w:rsidRPr="00286D3B">
        <w:rPr>
          <w:rStyle w:val="Button"/>
          <w:sz w:val="24"/>
        </w:rPr>
        <w:t>Model Code</w:t>
      </w:r>
      <w:r w:rsidRPr="00286D3B">
        <w:t xml:space="preserve">). </w:t>
      </w:r>
    </w:p>
    <w:p w14:paraId="1069DC8B" w14:textId="77777777" w:rsidR="000F6815" w:rsidRPr="00286D3B" w:rsidRDefault="000F6815" w:rsidP="000F6815">
      <w:pPr>
        <w:pStyle w:val="BodyText"/>
      </w:pPr>
      <w:r w:rsidRPr="00286D3B">
        <w:t xml:space="preserve">If you change chemical/physical property values and then change your mind, click on the </w:t>
      </w:r>
      <w:r w:rsidRPr="00286D3B">
        <w:rPr>
          <w:rStyle w:val="Button"/>
          <w:sz w:val="24"/>
        </w:rPr>
        <w:t>Reset Chemical Properties to Defaults</w:t>
      </w:r>
      <w:r w:rsidRPr="00286D3B">
        <w:t xml:space="preserve"> button above the parameter list. This only resets values shown on this tab; the other tabs have their own reset buttons.</w:t>
      </w:r>
    </w:p>
    <w:p w14:paraId="483E69C8" w14:textId="77777777" w:rsidR="000F6815" w:rsidRPr="00286D3B" w:rsidRDefault="000F6815" w:rsidP="000F6815">
      <w:pPr>
        <w:pStyle w:val="BodyText"/>
      </w:pPr>
      <w:r w:rsidRPr="00286D3B">
        <w:t>Terrestrial BCFs</w:t>
      </w:r>
      <w:r>
        <w:t>/BAFs</w:t>
      </w:r>
      <w:r w:rsidRPr="00286D3B">
        <w:t xml:space="preserve"> (i.e., for plants and animal products) for organic chemicals are calculated based on the log K</w:t>
      </w:r>
      <w:r w:rsidRPr="00286D3B">
        <w:rPr>
          <w:vertAlign w:val="subscript"/>
        </w:rPr>
        <w:t>ow</w:t>
      </w:r>
      <w:r w:rsidRPr="00286D3B">
        <w:t xml:space="preserve"> (and HLC in the case of </w:t>
      </w:r>
      <w:proofErr w:type="spellStart"/>
      <w:r w:rsidRPr="00286D3B">
        <w:t>B</w:t>
      </w:r>
      <w:r w:rsidRPr="00286D3B">
        <w:rPr>
          <w:vertAlign w:val="subscript"/>
        </w:rPr>
        <w:t>v</w:t>
      </w:r>
      <w:proofErr w:type="spellEnd"/>
      <w:r w:rsidRPr="00286D3B">
        <w:t>, vapor air-to-plant uptake) if a value is available for log K</w:t>
      </w:r>
      <w:r w:rsidRPr="00286D3B">
        <w:rPr>
          <w:vertAlign w:val="subscript"/>
        </w:rPr>
        <w:t xml:space="preserve">ow </w:t>
      </w:r>
      <w:r w:rsidRPr="00286D3B">
        <w:t xml:space="preserve">(and HLC for </w:t>
      </w:r>
      <w:proofErr w:type="spellStart"/>
      <w:r w:rsidRPr="00286D3B">
        <w:t>B</w:t>
      </w:r>
      <w:r w:rsidRPr="00286D3B">
        <w:rPr>
          <w:vertAlign w:val="subscript"/>
        </w:rPr>
        <w:t>v</w:t>
      </w:r>
      <w:proofErr w:type="spellEnd"/>
      <w:r w:rsidRPr="00286D3B">
        <w:t>). These BCFs</w:t>
      </w:r>
      <w:r>
        <w:t>/BAFs</w:t>
      </w:r>
      <w:r w:rsidRPr="00286D3B">
        <w:t xml:space="preserve"> are denoted with an asterisk at the end of the parameter description, and a reminder of this appears next to the </w:t>
      </w:r>
      <w:r w:rsidRPr="00286D3B">
        <w:rPr>
          <w:rStyle w:val="Button"/>
          <w:sz w:val="24"/>
        </w:rPr>
        <w:t>Reset Chemical Properties to Defaults</w:t>
      </w:r>
      <w:r w:rsidRPr="00286D3B">
        <w:t xml:space="preserve"> button. If you change the values for either log K</w:t>
      </w:r>
      <w:r w:rsidRPr="00286D3B">
        <w:rPr>
          <w:vertAlign w:val="subscript"/>
        </w:rPr>
        <w:t>ow</w:t>
      </w:r>
      <w:r w:rsidRPr="00286D3B">
        <w:t xml:space="preserve"> or HLC, the Tool will ask if you want to recalculate these BCFs</w:t>
      </w:r>
      <w:r>
        <w:t>/BAFs</w:t>
      </w:r>
      <w:r w:rsidRPr="00286D3B">
        <w:t xml:space="preserve">. Click on </w:t>
      </w:r>
      <w:r w:rsidRPr="00286D3B">
        <w:rPr>
          <w:rStyle w:val="Button"/>
          <w:sz w:val="24"/>
        </w:rPr>
        <w:t>Yes</w:t>
      </w:r>
      <w:r w:rsidRPr="00286D3B">
        <w:t xml:space="preserve"> to recalculate them (this will overwrite any values you changed for the affected BCFs</w:t>
      </w:r>
      <w:r>
        <w:t>/BAFs</w:t>
      </w:r>
      <w:r w:rsidRPr="00286D3B">
        <w:t xml:space="preserve">), or </w:t>
      </w:r>
      <w:r w:rsidRPr="00286D3B">
        <w:rPr>
          <w:rStyle w:val="Button"/>
          <w:sz w:val="24"/>
        </w:rPr>
        <w:t>No</w:t>
      </w:r>
      <w:r w:rsidRPr="00286D3B">
        <w:t xml:space="preserve"> to skip recalculating if you feel this is not appropriate for the chemical in question or you have entered values from another source and do not want them overwritten. You will need to enter terrestrial BCFs</w:t>
      </w:r>
      <w:r>
        <w:t>/BAFs</w:t>
      </w:r>
      <w:r w:rsidRPr="00286D3B">
        <w:t xml:space="preserve"> for any new chemical which does not have a </w:t>
      </w:r>
      <w:proofErr w:type="gramStart"/>
      <w:r w:rsidRPr="00286D3B">
        <w:t>log</w:t>
      </w:r>
      <w:proofErr w:type="gramEnd"/>
      <w:r w:rsidRPr="00286D3B">
        <w:t xml:space="preserve"> K</w:t>
      </w:r>
      <w:r w:rsidRPr="00286D3B">
        <w:rPr>
          <w:vertAlign w:val="subscript"/>
        </w:rPr>
        <w:t>ow</w:t>
      </w:r>
      <w:r w:rsidRPr="00286D3B">
        <w:t>. If you change an existing log K</w:t>
      </w:r>
      <w:r w:rsidRPr="00286D3B">
        <w:rPr>
          <w:vertAlign w:val="subscript"/>
        </w:rPr>
        <w:t>ow</w:t>
      </w:r>
      <w:r w:rsidRPr="00286D3B">
        <w:t xml:space="preserve"> to a blank (or null) value (not zero, which is a valid value), the Tool will reset the terrestrial BCFs</w:t>
      </w:r>
      <w:r>
        <w:t>/BAFs</w:t>
      </w:r>
      <w:r w:rsidRPr="00286D3B">
        <w:t xml:space="preserve"> for that chemical to zero, unless you have entered or modified the terrestrial BCF</w:t>
      </w:r>
      <w:r>
        <w:t>/BAFs</w:t>
      </w:r>
      <w:r w:rsidRPr="00286D3B">
        <w:t xml:space="preserve"> values (in which case, the values you entered will not be overwritten).</w:t>
      </w:r>
    </w:p>
    <w:p w14:paraId="1D6CFAB8" w14:textId="77777777" w:rsidR="000F6815" w:rsidRPr="00286D3B" w:rsidRDefault="000F6815" w:rsidP="000F6815">
      <w:pPr>
        <w:pStyle w:val="BodyText"/>
      </w:pPr>
      <w:r w:rsidRPr="00286D3B">
        <w:t xml:space="preserve">Human toxicity values include cancer and noncancer toxicity values for oral and inhalation exposures, so a total of four possible toxicity parameters. However, a few chemicals (e.g., cadmium, manganese) have multiple oral noncancer toxicity values, or </w:t>
      </w:r>
      <w:proofErr w:type="gramStart"/>
      <w:r w:rsidRPr="00286D3B">
        <w:t>pathway-specific</w:t>
      </w:r>
      <w:proofErr w:type="gramEnd"/>
      <w:r w:rsidRPr="00286D3B">
        <w:t xml:space="preserve"> </w:t>
      </w:r>
      <w:proofErr w:type="spellStart"/>
      <w:r w:rsidRPr="00286D3B">
        <w:t>RfDs</w:t>
      </w:r>
      <w:proofErr w:type="spellEnd"/>
      <w:r w:rsidRPr="00286D3B">
        <w:t xml:space="preserve">, instead of the typical single RfD used for all oral exposures. These </w:t>
      </w:r>
      <w:proofErr w:type="gramStart"/>
      <w:r w:rsidRPr="00286D3B">
        <w:t>pathway-specific</w:t>
      </w:r>
      <w:proofErr w:type="gramEnd"/>
      <w:r w:rsidRPr="00286D3B">
        <w:t xml:space="preserve"> </w:t>
      </w:r>
      <w:proofErr w:type="spellStart"/>
      <w:r w:rsidRPr="00286D3B">
        <w:t>RfDs</w:t>
      </w:r>
      <w:proofErr w:type="spellEnd"/>
      <w:r w:rsidRPr="00286D3B">
        <w:t xml:space="preserve"> are for water, soil, fish, food, or some subset of these. The Tool supports the use of either a general or </w:t>
      </w:r>
      <w:proofErr w:type="gramStart"/>
      <w:r w:rsidRPr="00286D3B">
        <w:t>pathway-specific</w:t>
      </w:r>
      <w:proofErr w:type="gramEnd"/>
      <w:r w:rsidRPr="00286D3B">
        <w:t xml:space="preserve"> </w:t>
      </w:r>
      <w:proofErr w:type="spellStart"/>
      <w:r w:rsidRPr="00286D3B">
        <w:t>RfDs</w:t>
      </w:r>
      <w:proofErr w:type="spellEnd"/>
      <w:r w:rsidRPr="00286D3B">
        <w:t xml:space="preserve"> for all chemicals. Near the top of this tab is a checkbox, which is enabled in Edit mode, that allows you to choose whether to display and use the single RfD for all ingestion pathways (checkbox unchecked) or the four </w:t>
      </w:r>
      <w:proofErr w:type="gramStart"/>
      <w:r w:rsidRPr="00286D3B">
        <w:t>pathway-specific</w:t>
      </w:r>
      <w:proofErr w:type="gramEnd"/>
      <w:r w:rsidRPr="00286D3B">
        <w:t xml:space="preserve"> </w:t>
      </w:r>
      <w:proofErr w:type="spellStart"/>
      <w:r w:rsidRPr="00286D3B">
        <w:t>RfDs</w:t>
      </w:r>
      <w:proofErr w:type="spellEnd"/>
      <w:r w:rsidRPr="00286D3B">
        <w:t xml:space="preserve"> (checkbox unchecked). </w:t>
      </w:r>
    </w:p>
    <w:p w14:paraId="78DB2F3F" w14:textId="77777777" w:rsidR="000F6815" w:rsidRPr="00286D3B" w:rsidRDefault="000F6815" w:rsidP="000F6815">
      <w:pPr>
        <w:pStyle w:val="Insertfigure"/>
        <w:rPr>
          <w:szCs w:val="24"/>
        </w:rPr>
      </w:pPr>
      <w:r w:rsidRPr="009266E4">
        <w:rPr>
          <w:noProof/>
        </w:rPr>
        <w:lastRenderedPageBreak/>
        <w:t xml:space="preserve"> </w:t>
      </w:r>
      <w:r>
        <w:rPr>
          <w:noProof/>
        </w:rPr>
        <w:drawing>
          <wp:inline distT="0" distB="0" distL="0" distR="0" wp14:anchorId="19E834F8" wp14:editId="7C44E023">
            <wp:extent cx="5212080" cy="3383951"/>
            <wp:effectExtent l="0" t="0" r="7620"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12080" cy="3383951"/>
                    </a:xfrm>
                    <a:prstGeom prst="rect">
                      <a:avLst/>
                    </a:prstGeom>
                  </pic:spPr>
                </pic:pic>
              </a:graphicData>
            </a:graphic>
          </wp:inline>
        </w:drawing>
      </w:r>
    </w:p>
    <w:p w14:paraId="0BB06BE4" w14:textId="77777777" w:rsidR="000F6815" w:rsidRPr="00286D3B" w:rsidRDefault="000F6815" w:rsidP="000F6815">
      <w:pPr>
        <w:pStyle w:val="Figurecaption"/>
      </w:pPr>
      <w:bookmarkStart w:id="69" w:name="_Toc92366070"/>
      <w:bookmarkStart w:id="70" w:name="_Toc103854356"/>
      <w:r w:rsidRPr="00286D3B">
        <w:t>Figure 1</w:t>
      </w:r>
      <w:r>
        <w:t>3</w:t>
      </w:r>
      <w:r w:rsidRPr="00286D3B">
        <w:t xml:space="preserve">. </w:t>
      </w:r>
      <w:r w:rsidRPr="006B0963">
        <w:t>Chemical</w:t>
      </w:r>
      <w:r w:rsidRPr="00286D3B">
        <w:t>/Physical Properties tab.</w:t>
      </w:r>
      <w:bookmarkEnd w:id="69"/>
      <w:bookmarkEnd w:id="70"/>
    </w:p>
    <w:p w14:paraId="0A27C1CE" w14:textId="77777777" w:rsidR="000F6815" w:rsidRPr="00286D3B" w:rsidRDefault="000F6815" w:rsidP="000F6815">
      <w:pPr>
        <w:pStyle w:val="BodyText"/>
      </w:pPr>
      <w:r w:rsidRPr="00286D3B">
        <w:rPr>
          <w:b/>
          <w:bCs/>
        </w:rPr>
        <w:t>Section 3.2.2</w:t>
      </w:r>
      <w:r w:rsidRPr="00286D3B">
        <w:t xml:space="preserve">, </w:t>
      </w:r>
      <w:r w:rsidRPr="00286D3B">
        <w:rPr>
          <w:b/>
        </w:rPr>
        <w:t>Add New Chemicals</w:t>
      </w:r>
      <w:r w:rsidRPr="00286D3B">
        <w:t>, has more information about many of the values shown on this tab. Additional information for all parameters shown in this tab except toxicity values, including the equations for calculating BCFs</w:t>
      </w:r>
      <w:r>
        <w:t xml:space="preserve">/BAFs </w:t>
      </w:r>
      <w:r w:rsidRPr="00286D3B">
        <w:t xml:space="preserve">for animal products, produce, and grains, may be found in </w:t>
      </w:r>
      <w:r w:rsidRPr="00286D3B">
        <w:rPr>
          <w:b/>
          <w:bCs/>
        </w:rPr>
        <w:t>Appendix C</w:t>
      </w:r>
      <w:r w:rsidRPr="00286D3B">
        <w:rPr>
          <w:bCs/>
        </w:rPr>
        <w:t>; more information on human toxicity values may be found</w:t>
      </w:r>
      <w:r w:rsidRPr="00286D3B">
        <w:rPr>
          <w:b/>
          <w:bCs/>
        </w:rPr>
        <w:t xml:space="preserve"> </w:t>
      </w:r>
      <w:r w:rsidRPr="00286D3B">
        <w:t xml:space="preserve">in </w:t>
      </w:r>
      <w:r w:rsidRPr="00286D3B">
        <w:rPr>
          <w:b/>
          <w:bCs/>
        </w:rPr>
        <w:t>Appendix D</w:t>
      </w:r>
      <w:r w:rsidRPr="00286D3B">
        <w:t>.</w:t>
      </w:r>
    </w:p>
    <w:p w14:paraId="3242A340" w14:textId="77777777" w:rsidR="000F6815" w:rsidRPr="00286D3B" w:rsidRDefault="000F6815" w:rsidP="000F6815">
      <w:pPr>
        <w:pStyle w:val="BodyText"/>
      </w:pPr>
      <w:r w:rsidRPr="00286D3B">
        <w:rPr>
          <w:rStyle w:val="Button"/>
          <w:b/>
          <w:bCs/>
          <w:sz w:val="24"/>
        </w:rPr>
        <w:t>Ecological BAFs t</w:t>
      </w:r>
      <w:r w:rsidRPr="00286D3B">
        <w:rPr>
          <w:b/>
          <w:bCs/>
        </w:rPr>
        <w:t>ab:</w:t>
      </w:r>
      <w:r w:rsidRPr="00286D3B">
        <w:t xml:space="preserve"> On this screen (</w:t>
      </w:r>
      <w:r w:rsidRPr="00286D3B">
        <w:rPr>
          <w:b/>
          <w:bCs/>
        </w:rPr>
        <w:t>Figure 1</w:t>
      </w:r>
      <w:r>
        <w:rPr>
          <w:b/>
          <w:bCs/>
        </w:rPr>
        <w:t>4</w:t>
      </w:r>
      <w:r w:rsidRPr="00286D3B">
        <w:t xml:space="preserve">), you can edit existing ecological </w:t>
      </w:r>
      <w:r>
        <w:t xml:space="preserve">terrestrial and aquatic </w:t>
      </w:r>
      <w:r w:rsidRPr="00286D3B">
        <w:t>BAFs, as well as add new ones. The existing BAFs and BCFs are listed in alphabetical order</w:t>
      </w:r>
      <w:r>
        <w:t xml:space="preserve"> by parameter name</w:t>
      </w:r>
      <w:r w:rsidRPr="00286D3B">
        <w:t xml:space="preserve">; to edit one, simply click in the value field and change the value. Enter the source in the comment field. To add a new one, use the inner scroll bar to get to the bottom of the list and select a type of BAF or BCF from the dropdown box under </w:t>
      </w:r>
      <w:r w:rsidRPr="00286D3B">
        <w:rPr>
          <w:rStyle w:val="Button"/>
          <w:sz w:val="24"/>
        </w:rPr>
        <w:t>Model Code</w:t>
      </w:r>
      <w:r w:rsidRPr="00286D3B">
        <w:t xml:space="preserve">. Then enter the value in the value field and the source in the comment field. </w:t>
      </w:r>
      <w:r w:rsidRPr="00286D3B">
        <w:rPr>
          <w:b/>
          <w:bCs/>
        </w:rPr>
        <w:t>Section 3.2.2</w:t>
      </w:r>
      <w:r w:rsidRPr="00286D3B">
        <w:t xml:space="preserve">, </w:t>
      </w:r>
      <w:r w:rsidRPr="00286D3B">
        <w:rPr>
          <w:b/>
        </w:rPr>
        <w:t>Add New Chemicals</w:t>
      </w:r>
      <w:r w:rsidRPr="00286D3B">
        <w:t xml:space="preserve">, has more information about BCF/BAF values. Additional information may be found in </w:t>
      </w:r>
      <w:r w:rsidRPr="00286D3B">
        <w:rPr>
          <w:b/>
          <w:bCs/>
        </w:rPr>
        <w:t>Appendix C</w:t>
      </w:r>
      <w:r w:rsidRPr="00286D3B">
        <w:rPr>
          <w:bCs/>
        </w:rPr>
        <w:t>,</w:t>
      </w:r>
      <w:r w:rsidRPr="00286D3B">
        <w:rPr>
          <w:b/>
          <w:bCs/>
        </w:rPr>
        <w:t xml:space="preserve"> Section C.5</w:t>
      </w:r>
      <w:r w:rsidRPr="00286D3B">
        <w:t xml:space="preserve">. </w:t>
      </w:r>
    </w:p>
    <w:p w14:paraId="417D968E" w14:textId="77777777" w:rsidR="000F6815" w:rsidRPr="00286D3B" w:rsidRDefault="000F6815" w:rsidP="000F6815">
      <w:pPr>
        <w:pStyle w:val="BodyTextlast"/>
      </w:pPr>
      <w:r w:rsidRPr="00286D3B">
        <w:t xml:space="preserve">If you change BCF/BAF values and then change your mind, click on the </w:t>
      </w:r>
      <w:r w:rsidRPr="00286D3B">
        <w:rPr>
          <w:rStyle w:val="Button"/>
          <w:sz w:val="24"/>
        </w:rPr>
        <w:t>Reset Properties to Default</w:t>
      </w:r>
      <w:r w:rsidRPr="00286D3B">
        <w:t xml:space="preserve"> button above the parameter list. This only resets values shown on this tab; the other tabs have their own reset buttons. It does not delete or reset new BCFs/BAFs that you added.</w:t>
      </w:r>
    </w:p>
    <w:bookmarkEnd w:id="68"/>
    <w:p w14:paraId="0A05AA4B" w14:textId="77777777" w:rsidR="000F6815" w:rsidRPr="00286D3B" w:rsidRDefault="000F6815" w:rsidP="000F6815">
      <w:pPr>
        <w:pStyle w:val="Insertfigure"/>
        <w:rPr>
          <w:szCs w:val="24"/>
        </w:rPr>
      </w:pPr>
      <w:r w:rsidRPr="00316918">
        <w:rPr>
          <w:noProof/>
        </w:rPr>
        <w:lastRenderedPageBreak/>
        <w:t xml:space="preserve"> </w:t>
      </w:r>
      <w:r>
        <w:rPr>
          <w:noProof/>
          <w:szCs w:val="24"/>
        </w:rPr>
        <w:drawing>
          <wp:inline distT="0" distB="0" distL="0" distR="0" wp14:anchorId="79579AF1" wp14:editId="30E0160C">
            <wp:extent cx="5486400" cy="3562055"/>
            <wp:effectExtent l="0" t="0" r="0" b="635"/>
            <wp:docPr id="23" name="Picture 2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text, application, email&#10;&#10;Description automatically generated"/>
                    <pic:cNvPicPr/>
                  </pic:nvPicPr>
                  <pic:blipFill>
                    <a:blip r:embed="rId36">
                      <a:extLst>
                        <a:ext uri="{28A0092B-C50C-407E-A947-70E740481C1C}">
                          <a14:useLocalDpi xmlns:a14="http://schemas.microsoft.com/office/drawing/2010/main" val="0"/>
                        </a:ext>
                      </a:extLst>
                    </a:blip>
                    <a:stretch>
                      <a:fillRect/>
                    </a:stretch>
                  </pic:blipFill>
                  <pic:spPr>
                    <a:xfrm>
                      <a:off x="0" y="0"/>
                      <a:ext cx="5486400" cy="3562055"/>
                    </a:xfrm>
                    <a:prstGeom prst="rect">
                      <a:avLst/>
                    </a:prstGeom>
                  </pic:spPr>
                </pic:pic>
              </a:graphicData>
            </a:graphic>
          </wp:inline>
        </w:drawing>
      </w:r>
    </w:p>
    <w:p w14:paraId="1662B785" w14:textId="77777777" w:rsidR="000F6815" w:rsidRPr="00286D3B" w:rsidRDefault="000F6815" w:rsidP="000F6815">
      <w:pPr>
        <w:pStyle w:val="Figurecaption"/>
        <w:rPr>
          <w:rStyle w:val="Button"/>
          <w:b w:val="0"/>
          <w:bCs w:val="0"/>
          <w:sz w:val="24"/>
        </w:rPr>
      </w:pPr>
      <w:bookmarkStart w:id="71" w:name="_Toc92366071"/>
      <w:bookmarkStart w:id="72" w:name="_Toc103854357"/>
      <w:r w:rsidRPr="00286D3B">
        <w:t>Figure 1</w:t>
      </w:r>
      <w:r>
        <w:t>4</w:t>
      </w:r>
      <w:r w:rsidRPr="00286D3B">
        <w:t>.</w:t>
      </w:r>
      <w:r w:rsidRPr="00286D3B">
        <w:rPr>
          <w:i/>
          <w:iCs/>
        </w:rPr>
        <w:t xml:space="preserve"> </w:t>
      </w:r>
      <w:r w:rsidRPr="00286D3B">
        <w:rPr>
          <w:smallCaps/>
        </w:rPr>
        <w:t>Chemical Properties</w:t>
      </w:r>
      <w:r w:rsidRPr="00286D3B">
        <w:t xml:space="preserve"> window: view or edit ecological BAFs/BCFs.</w:t>
      </w:r>
      <w:bookmarkEnd w:id="71"/>
      <w:bookmarkEnd w:id="72"/>
    </w:p>
    <w:p w14:paraId="64272C9A" w14:textId="77777777" w:rsidR="000F6815" w:rsidRPr="00286D3B" w:rsidRDefault="000F6815" w:rsidP="000F6815">
      <w:pPr>
        <w:pStyle w:val="BodyText"/>
        <w:keepNext/>
        <w:keepLines/>
      </w:pPr>
      <w:bookmarkStart w:id="73" w:name="_Hlk63682413"/>
      <w:r w:rsidRPr="00286D3B">
        <w:rPr>
          <w:rStyle w:val="Button"/>
          <w:b/>
          <w:bCs/>
          <w:sz w:val="24"/>
        </w:rPr>
        <w:t xml:space="preserve">Ecological Toxicity values </w:t>
      </w:r>
      <w:r w:rsidRPr="00286D3B">
        <w:rPr>
          <w:b/>
          <w:bCs/>
        </w:rPr>
        <w:t>tab:</w:t>
      </w:r>
      <w:r w:rsidRPr="00286D3B">
        <w:t xml:space="preserve"> On this screen (</w:t>
      </w:r>
      <w:r w:rsidRPr="00286D3B">
        <w:rPr>
          <w:b/>
          <w:bCs/>
        </w:rPr>
        <w:t>Figure 1</w:t>
      </w:r>
      <w:r>
        <w:rPr>
          <w:b/>
          <w:bCs/>
        </w:rPr>
        <w:t>5</w:t>
      </w:r>
      <w:r w:rsidRPr="00286D3B">
        <w:t>), you can edit existing ecological toxicity values and add additional receptors that do not currently have ecological toxicity values. Each type of receptor has an associated type of toxicity value:</w:t>
      </w:r>
    </w:p>
    <w:p w14:paraId="4DE6EE21" w14:textId="77777777" w:rsidR="000F6815" w:rsidRPr="00286D3B" w:rsidRDefault="000F6815" w:rsidP="00347221">
      <w:pPr>
        <w:pStyle w:val="ListBullet"/>
      </w:pPr>
      <w:r w:rsidRPr="00286D3B">
        <w:rPr>
          <w:b/>
        </w:rPr>
        <w:t>Birds and mammals</w:t>
      </w:r>
      <w:r w:rsidRPr="00286D3B">
        <w:t xml:space="preserve"> have a benchmark dose (BMD); these are typically based on two reference BMDs and associated test species body weights, one for birds and one for mammals. The reference data may be added or edited on the </w:t>
      </w:r>
      <w:r w:rsidRPr="00286D3B">
        <w:rPr>
          <w:rStyle w:val="Button"/>
          <w:sz w:val="24"/>
        </w:rPr>
        <w:t>Chemical/Physical Properties</w:t>
      </w:r>
      <w:r w:rsidRPr="00286D3B">
        <w:t xml:space="preserve"> tab described above. If you add or change the reference data, the Tool will ask if you want to calculate new scaled species-specific values. You will need to have entered both the reference BMD and reference body weight, so you may want to select No after you change one if you are about to change the other. If you are entering data where there was none before, it will be able to calculate until you enter both values. However, the computation is very fast. The resulting scaled values for individual bird and mammal receptors are shown in this tab. However, you can override those scaled values in this tab by entering a different value.</w:t>
      </w:r>
    </w:p>
    <w:p w14:paraId="2F4A4E31" w14:textId="77777777" w:rsidR="000F6815" w:rsidRPr="00286D3B" w:rsidRDefault="000F6815" w:rsidP="00347221">
      <w:pPr>
        <w:pStyle w:val="ListBullet"/>
      </w:pPr>
      <w:r w:rsidRPr="00286D3B">
        <w:rPr>
          <w:b/>
        </w:rPr>
        <w:t>Soil community receptors</w:t>
      </w:r>
      <w:r w:rsidRPr="00286D3B">
        <w:t xml:space="preserve"> have a benchmark concentration in soil (</w:t>
      </w:r>
      <w:proofErr w:type="spellStart"/>
      <w:r w:rsidRPr="00286D3B">
        <w:t>BMC_soil</w:t>
      </w:r>
      <w:proofErr w:type="spellEnd"/>
      <w:r w:rsidRPr="00286D3B">
        <w:t>); these must be entered or edited here.</w:t>
      </w:r>
    </w:p>
    <w:p w14:paraId="50A67E59" w14:textId="77777777" w:rsidR="000F6815" w:rsidRPr="00286D3B" w:rsidRDefault="000F6815" w:rsidP="00347221">
      <w:pPr>
        <w:pStyle w:val="ListBullet"/>
      </w:pPr>
      <w:r w:rsidRPr="00286D3B">
        <w:rPr>
          <w:b/>
        </w:rPr>
        <w:t>Aquatic receptors</w:t>
      </w:r>
      <w:r w:rsidRPr="00286D3B">
        <w:t xml:space="preserve"> (including amphibians) have a benchmark concentration in water (</w:t>
      </w:r>
      <w:proofErr w:type="spellStart"/>
      <w:r w:rsidRPr="00286D3B">
        <w:t>BMC_water</w:t>
      </w:r>
      <w:proofErr w:type="spellEnd"/>
      <w:r w:rsidRPr="00286D3B">
        <w:t>); these must be entered or edited here. This benchmark also requires an exposure duration (</w:t>
      </w:r>
      <w:proofErr w:type="spellStart"/>
      <w:r w:rsidRPr="00286D3B">
        <w:t>ED_Eco</w:t>
      </w:r>
      <w:proofErr w:type="spellEnd"/>
      <w:r w:rsidRPr="00286D3B">
        <w:t xml:space="preserve">), which is a separate record, to enable the Tool to use a water concentration averaged over the same </w:t>
      </w:r>
      <w:proofErr w:type="gramStart"/>
      <w:r w:rsidRPr="00286D3B">
        <w:t>time period</w:t>
      </w:r>
      <w:proofErr w:type="gramEnd"/>
      <w:r w:rsidRPr="00286D3B">
        <w:t xml:space="preserve">. ED values are restricted to 1 day, 4 days, or 365 days, as these are the available averaging times for water concentrations in the Tool and the most common values associated with available </w:t>
      </w:r>
      <w:proofErr w:type="spellStart"/>
      <w:r w:rsidRPr="00286D3B">
        <w:t>BMC_Water</w:t>
      </w:r>
      <w:proofErr w:type="spellEnd"/>
      <w:r w:rsidRPr="00286D3B">
        <w:t xml:space="preserve"> values.</w:t>
      </w:r>
    </w:p>
    <w:p w14:paraId="1E4A004A" w14:textId="77777777" w:rsidR="000F6815" w:rsidRPr="00286D3B" w:rsidRDefault="000F6815" w:rsidP="00347221">
      <w:pPr>
        <w:pStyle w:val="ListBullet"/>
      </w:pPr>
      <w:r w:rsidRPr="00286D3B">
        <w:rPr>
          <w:b/>
        </w:rPr>
        <w:lastRenderedPageBreak/>
        <w:t>Sediment community receptors</w:t>
      </w:r>
      <w:r w:rsidRPr="00286D3B">
        <w:t xml:space="preserve"> have a benchmark concentration in sediment (</w:t>
      </w:r>
      <w:proofErr w:type="spellStart"/>
      <w:r w:rsidRPr="00286D3B">
        <w:t>BMC_sed</w:t>
      </w:r>
      <w:proofErr w:type="spellEnd"/>
      <w:r w:rsidRPr="00286D3B">
        <w:t>); these must be entered or edited here.</w:t>
      </w:r>
    </w:p>
    <w:p w14:paraId="17F9D633" w14:textId="77777777" w:rsidR="000F6815" w:rsidRPr="00286D3B" w:rsidRDefault="000F6815" w:rsidP="000F6815">
      <w:pPr>
        <w:pStyle w:val="BodyText"/>
      </w:pPr>
      <w:r w:rsidRPr="00286D3B">
        <w:t xml:space="preserve">To edit an </w:t>
      </w:r>
      <w:proofErr w:type="gramStart"/>
      <w:r w:rsidRPr="00286D3B">
        <w:t>existing toxicity values</w:t>
      </w:r>
      <w:proofErr w:type="gramEnd"/>
      <w:r w:rsidRPr="00286D3B">
        <w:t xml:space="preserve">, simply click in the value field and change the value. When you leave the field, you will be prompted to enter a reference or other text documenting the source of the value; this will be saved in the comment field. If you do not enter something, the Tool will enter “No reference supplied” in the comments field. If you edit a </w:t>
      </w:r>
      <w:proofErr w:type="spellStart"/>
      <w:r w:rsidRPr="00286D3B">
        <w:t>BMC_Water</w:t>
      </w:r>
      <w:proofErr w:type="spellEnd"/>
      <w:r w:rsidRPr="00286D3B">
        <w:t xml:space="preserve">, be sure to check (and edit if necessary) the associated </w:t>
      </w:r>
      <w:proofErr w:type="spellStart"/>
      <w:r w:rsidRPr="00286D3B">
        <w:t>ED_Eco</w:t>
      </w:r>
      <w:proofErr w:type="spellEnd"/>
      <w:r w:rsidRPr="00286D3B">
        <w:t xml:space="preserve"> value (this should be the record immediately below the </w:t>
      </w:r>
      <w:proofErr w:type="spellStart"/>
      <w:r w:rsidRPr="00286D3B">
        <w:t>BMC_Water</w:t>
      </w:r>
      <w:proofErr w:type="spellEnd"/>
      <w:r w:rsidRPr="00286D3B">
        <w:t xml:space="preserve"> record for the same receptor). Currently, the Tool can only accommodate one </w:t>
      </w:r>
      <w:proofErr w:type="spellStart"/>
      <w:r w:rsidRPr="00286D3B">
        <w:t>BMC_water</w:t>
      </w:r>
      <w:proofErr w:type="spellEnd"/>
      <w:r w:rsidRPr="00286D3B">
        <w:t>/</w:t>
      </w:r>
      <w:proofErr w:type="spellStart"/>
      <w:r w:rsidRPr="00286D3B">
        <w:t>ED_Eco</w:t>
      </w:r>
      <w:proofErr w:type="spellEnd"/>
      <w:r w:rsidRPr="00286D3B">
        <w:t xml:space="preserve"> pair for a particular chemical and receptor at a time. If you want to do runs for different pairs for the same chemical and receptor, you will need to do separate runs, and edit the values in between. </w:t>
      </w:r>
    </w:p>
    <w:bookmarkEnd w:id="73"/>
    <w:p w14:paraId="669B28A8" w14:textId="77777777" w:rsidR="000F6815" w:rsidRPr="00286D3B" w:rsidRDefault="000F6815" w:rsidP="000F6815">
      <w:pPr>
        <w:pStyle w:val="Insertfigure"/>
        <w:rPr>
          <w:szCs w:val="24"/>
        </w:rPr>
      </w:pPr>
      <w:r w:rsidRPr="00671E6C">
        <w:rPr>
          <w:noProof/>
        </w:rPr>
        <w:t xml:space="preserve"> </w:t>
      </w:r>
      <w:r>
        <w:rPr>
          <w:noProof/>
        </w:rPr>
        <w:drawing>
          <wp:inline distT="0" distB="0" distL="0" distR="0" wp14:anchorId="1FBAA600" wp14:editId="567F0718">
            <wp:extent cx="5943600" cy="3858895"/>
            <wp:effectExtent l="0" t="0" r="0" b="825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3858895"/>
                    </a:xfrm>
                    <a:prstGeom prst="rect">
                      <a:avLst/>
                    </a:prstGeom>
                  </pic:spPr>
                </pic:pic>
              </a:graphicData>
            </a:graphic>
          </wp:inline>
        </w:drawing>
      </w:r>
    </w:p>
    <w:p w14:paraId="6973B5D5" w14:textId="77777777" w:rsidR="000F6815" w:rsidRPr="00286D3B" w:rsidRDefault="000F6815" w:rsidP="000F6815">
      <w:pPr>
        <w:pStyle w:val="Figurecaption"/>
      </w:pPr>
      <w:bookmarkStart w:id="74" w:name="_Toc92366072"/>
      <w:bookmarkStart w:id="75" w:name="_Toc103854358"/>
      <w:r w:rsidRPr="00286D3B">
        <w:t>Figure 1</w:t>
      </w:r>
      <w:r>
        <w:t>5</w:t>
      </w:r>
      <w:r w:rsidRPr="00286D3B">
        <w:t>.</w:t>
      </w:r>
      <w:r w:rsidRPr="00286D3B">
        <w:rPr>
          <w:i/>
          <w:iCs/>
        </w:rPr>
        <w:t xml:space="preserve"> </w:t>
      </w:r>
      <w:r w:rsidRPr="00286D3B">
        <w:rPr>
          <w:smallCaps/>
        </w:rPr>
        <w:t xml:space="preserve">Chemical </w:t>
      </w:r>
      <w:r w:rsidRPr="004A2469">
        <w:t>Properties</w:t>
      </w:r>
      <w:r w:rsidRPr="00286D3B">
        <w:t xml:space="preserve"> window: view or edit ecological toxicity values.</w:t>
      </w:r>
      <w:bookmarkEnd w:id="74"/>
      <w:bookmarkEnd w:id="75"/>
    </w:p>
    <w:p w14:paraId="17138F70" w14:textId="77777777" w:rsidR="000F6815" w:rsidRPr="00286D3B" w:rsidRDefault="000F6815" w:rsidP="000F6815">
      <w:pPr>
        <w:pStyle w:val="BodyText"/>
      </w:pPr>
      <w:r w:rsidRPr="00286D3B">
        <w:t xml:space="preserve">To add a toxicity value for a receptor not already listed, click on the </w:t>
      </w:r>
      <w:r w:rsidRPr="00286D3B">
        <w:rPr>
          <w:rStyle w:val="Button"/>
          <w:sz w:val="24"/>
        </w:rPr>
        <w:t>Add Receptor(s) for this Chemical</w:t>
      </w:r>
      <w:r w:rsidRPr="00286D3B">
        <w:t xml:space="preserve"> button at the top of the form. This will open a dialog box with a dropdown from which you can select any receptor for which this chemical does not already have a toxicity value. Click on the </w:t>
      </w:r>
      <w:r w:rsidRPr="00286D3B">
        <w:rPr>
          <w:rStyle w:val="Button"/>
          <w:sz w:val="24"/>
        </w:rPr>
        <w:t>Add Receptor</w:t>
      </w:r>
      <w:r w:rsidRPr="00286D3B">
        <w:t xml:space="preserve"> button to add the receptor. The dialog box will remain visible, so you can add another receptor if desired. When you are done adding receptors, click on the </w:t>
      </w:r>
      <w:r w:rsidRPr="00286D3B">
        <w:rPr>
          <w:rStyle w:val="Button"/>
          <w:sz w:val="24"/>
        </w:rPr>
        <w:t xml:space="preserve">Close </w:t>
      </w:r>
      <w:r w:rsidRPr="00286D3B">
        <w:t>button. You should now have one or two new records per new receptor, at the bottom of the list of receptors shown in Figure 1</w:t>
      </w:r>
      <w:r>
        <w:t>5</w:t>
      </w:r>
      <w:r w:rsidRPr="00286D3B">
        <w:t xml:space="preserve">; receptors that use a </w:t>
      </w:r>
      <w:proofErr w:type="spellStart"/>
      <w:r w:rsidRPr="00286D3B">
        <w:t>BMC_Water</w:t>
      </w:r>
      <w:proofErr w:type="spellEnd"/>
      <w:r w:rsidRPr="00286D3B">
        <w:t xml:space="preserve"> will have two new records, one for the benchmark and one for the exposure duration and all others will have one new record, for the benchmark. These records are pre-populated with the receptor name, the toxicity value </w:t>
      </w:r>
      <w:r w:rsidRPr="00286D3B">
        <w:lastRenderedPageBreak/>
        <w:t xml:space="preserve">type, and a default value of 1 for the benchmark and, if applicable, 365 days for the exposure duration. You can then edit these default values to the desired values. Additional information on ecotoxicity values may be found in </w:t>
      </w:r>
      <w:r w:rsidRPr="00286D3B">
        <w:rPr>
          <w:b/>
          <w:bCs/>
        </w:rPr>
        <w:t>Appendix D</w:t>
      </w:r>
      <w:r w:rsidRPr="00286D3B">
        <w:t xml:space="preserve">. </w:t>
      </w:r>
    </w:p>
    <w:p w14:paraId="6472741B" w14:textId="77777777" w:rsidR="000F6815" w:rsidRPr="00286D3B" w:rsidRDefault="000F6815" w:rsidP="000F6815">
      <w:pPr>
        <w:pStyle w:val="BodyText"/>
      </w:pPr>
      <w:r w:rsidRPr="00286D3B">
        <w:t xml:space="preserve">If you change ecological toxicity values and then change your mind, click on the </w:t>
      </w:r>
      <w:r w:rsidRPr="00286D3B">
        <w:rPr>
          <w:rStyle w:val="Button"/>
          <w:sz w:val="24"/>
        </w:rPr>
        <w:t>Reset Properties to Default</w:t>
      </w:r>
      <w:r w:rsidRPr="00286D3B">
        <w:t xml:space="preserve"> button above the parameter list. This only resets values shown on this tab; the other tabs have their own reset buttons. It does not delete or reset new receptor-toxicity value combinations that you added. You can delete records for receptors you have added (but not records for receptors included with the Tool) by clicking on the red Delete button at the right edge of the tab by the record you wish to delete.</w:t>
      </w:r>
    </w:p>
    <w:p w14:paraId="15DD2766" w14:textId="77777777" w:rsidR="000F6815" w:rsidRPr="00286D3B" w:rsidRDefault="000F6815" w:rsidP="000F6815">
      <w:pPr>
        <w:pStyle w:val="BodyText"/>
      </w:pPr>
      <w:r w:rsidRPr="00286D3B">
        <w:t xml:space="preserve">When you are done editing chemical data, click on the × in the upper right corner of the </w:t>
      </w:r>
      <w:r w:rsidRPr="00286D3B">
        <w:rPr>
          <w:rStyle w:val="Button"/>
          <w:sz w:val="24"/>
        </w:rPr>
        <w:t>Chemical Properties</w:t>
      </w:r>
      <w:r w:rsidRPr="00286D3B">
        <w:t xml:space="preserve"> form to close it; this will return you to the </w:t>
      </w:r>
      <w:r w:rsidRPr="00286D3B">
        <w:rPr>
          <w:rStyle w:val="Button"/>
          <w:sz w:val="24"/>
        </w:rPr>
        <w:t>Chemicals</w:t>
      </w:r>
      <w:r w:rsidRPr="00286D3B">
        <w:t xml:space="preserve"> tab of the </w:t>
      </w:r>
      <w:r w:rsidRPr="00286D3B">
        <w:rPr>
          <w:rStyle w:val="Button"/>
          <w:sz w:val="24"/>
        </w:rPr>
        <w:t>Configure Model</w:t>
      </w:r>
      <w:r w:rsidRPr="00286D3B">
        <w:t xml:space="preserve"> screen (Figure </w:t>
      </w:r>
      <w:r>
        <w:t>9</w:t>
      </w:r>
      <w:r w:rsidRPr="00286D3B">
        <w:t xml:space="preserve">). Additional information may be found in </w:t>
      </w:r>
      <w:r w:rsidRPr="00286D3B">
        <w:rPr>
          <w:b/>
          <w:bCs/>
        </w:rPr>
        <w:t xml:space="preserve">Appendix C </w:t>
      </w:r>
      <w:r w:rsidRPr="00286D3B">
        <w:t xml:space="preserve">for physical-chemical properties and ecological BAFs/BCFs, and in </w:t>
      </w:r>
      <w:r w:rsidRPr="00286D3B">
        <w:rPr>
          <w:b/>
          <w:bCs/>
        </w:rPr>
        <w:t>Appendix D</w:t>
      </w:r>
      <w:r w:rsidRPr="00286D3B">
        <w:t xml:space="preserve"> for toxicity values (both human and ecological).</w:t>
      </w:r>
    </w:p>
    <w:p w14:paraId="603D23A2" w14:textId="77777777" w:rsidR="000F6815" w:rsidRPr="00286D3B" w:rsidRDefault="000F6815" w:rsidP="00911CBD">
      <w:pPr>
        <w:pStyle w:val="Heading3"/>
      </w:pPr>
      <w:bookmarkStart w:id="76" w:name="_Toc99449960"/>
      <w:bookmarkStart w:id="77" w:name="_Toc128041936"/>
      <w:r w:rsidRPr="00286D3B">
        <w:t>3.2.4</w:t>
      </w:r>
      <w:r w:rsidRPr="00286D3B">
        <w:tab/>
      </w:r>
      <w:r w:rsidRPr="00980B39">
        <w:t>Compare</w:t>
      </w:r>
      <w:r w:rsidRPr="00286D3B">
        <w:t xml:space="preserve"> </w:t>
      </w:r>
      <w:bookmarkEnd w:id="76"/>
      <w:r>
        <w:t xml:space="preserve">Non-default </w:t>
      </w:r>
      <w:r w:rsidRPr="007A534B">
        <w:t>Properties for Selected Chemicals</w:t>
      </w:r>
      <w:bookmarkEnd w:id="77"/>
    </w:p>
    <w:p w14:paraId="248CE4CE" w14:textId="7196770D" w:rsidR="000F6815" w:rsidRPr="00286D3B" w:rsidRDefault="000F6815" w:rsidP="000F6815">
      <w:pPr>
        <w:pStyle w:val="BodyText"/>
      </w:pPr>
      <w:r w:rsidRPr="00286D3B">
        <w:t xml:space="preserve">You can compare the </w:t>
      </w:r>
      <w:r>
        <w:t>non-default (user</w:t>
      </w:r>
      <w:r w:rsidR="00F65FC4">
        <w:t>-</w:t>
      </w:r>
      <w:r>
        <w:t xml:space="preserve">entered) </w:t>
      </w:r>
      <w:r w:rsidRPr="00286D3B">
        <w:t xml:space="preserve">chemical properties for the set of chemicals you have selected to include in a simulation. On the </w:t>
      </w:r>
      <w:r w:rsidRPr="00286D3B">
        <w:rPr>
          <w:rStyle w:val="Button"/>
          <w:sz w:val="24"/>
        </w:rPr>
        <w:t>Chemicals</w:t>
      </w:r>
      <w:r w:rsidRPr="00286D3B">
        <w:t xml:space="preserve"> tab, click on the </w:t>
      </w:r>
      <w:r w:rsidRPr="00286D3B">
        <w:rPr>
          <w:rStyle w:val="Button"/>
          <w:sz w:val="24"/>
        </w:rPr>
        <w:t>View</w:t>
      </w:r>
      <w:r w:rsidRPr="00286D3B">
        <w:rPr>
          <w:i/>
          <w:iCs/>
        </w:rPr>
        <w:t xml:space="preserve"> </w:t>
      </w:r>
      <w:r w:rsidRPr="00286D3B">
        <w:t xml:space="preserve">button under </w:t>
      </w:r>
      <w:r w:rsidRPr="00286D3B">
        <w:rPr>
          <w:rStyle w:val="Button"/>
          <w:sz w:val="24"/>
        </w:rPr>
        <w:t>Compare Properties of Selected Chemicals</w:t>
      </w:r>
      <w:r w:rsidRPr="00286D3B">
        <w:t xml:space="preserve"> (to the left of the list of chemicals; see Figure 8). </w:t>
      </w:r>
      <w:r w:rsidRPr="00286D3B">
        <w:rPr>
          <w:b/>
          <w:bCs/>
        </w:rPr>
        <w:t>Figure 1</w:t>
      </w:r>
      <w:r>
        <w:rPr>
          <w:b/>
          <w:bCs/>
        </w:rPr>
        <w:t>6</w:t>
      </w:r>
      <w:r w:rsidRPr="00286D3B">
        <w:t xml:space="preserve"> shows an example of the </w:t>
      </w:r>
      <w:r w:rsidRPr="00286D3B">
        <w:rPr>
          <w:rStyle w:val="Button"/>
          <w:sz w:val="24"/>
        </w:rPr>
        <w:t>Chemical Property Comparison</w:t>
      </w:r>
      <w:r w:rsidRPr="00286D3B">
        <w:t xml:space="preserve"> window. In this example, only two chemicals were selected, but if more are selected, the display includes additional columns to the right for each chemical. While not all columns will show on the screen at once if you have more than a few chemicals selected, you can scroll over to view the data. You may find it easier to export comparisons for many chemicals to Excel; you can do that by clicking on the </w:t>
      </w:r>
      <w:r w:rsidRPr="00286D3B">
        <w:rPr>
          <w:rStyle w:val="Button"/>
          <w:sz w:val="24"/>
        </w:rPr>
        <w:t>Export to Excel</w:t>
      </w:r>
      <w:r w:rsidRPr="00286D3B">
        <w:t xml:space="preserve"> button under the </w:t>
      </w:r>
      <w:r w:rsidRPr="00286D3B">
        <w:rPr>
          <w:rStyle w:val="Button"/>
          <w:sz w:val="24"/>
        </w:rPr>
        <w:t>View</w:t>
      </w:r>
      <w:r w:rsidRPr="00286D3B">
        <w:t xml:space="preserve"> button. You will be prompted for a file name and location. The Excel file is structured the same way as the window shown in Figure 1</w:t>
      </w:r>
      <w:r>
        <w:t>6</w:t>
      </w:r>
      <w:r w:rsidRPr="00286D3B">
        <w:t>, but also includes a second tab with the references for each property for each chemical where the value is shown in Figure 1</w:t>
      </w:r>
      <w:r>
        <w:t>6</w:t>
      </w:r>
      <w:r w:rsidRPr="00286D3B">
        <w:t>.</w:t>
      </w:r>
    </w:p>
    <w:p w14:paraId="4C327C57" w14:textId="02DE7967" w:rsidR="000F6815" w:rsidRPr="00286D3B" w:rsidRDefault="00775A97" w:rsidP="000F6815">
      <w:pPr>
        <w:pStyle w:val="Insertfigure"/>
        <w:rPr>
          <w:szCs w:val="24"/>
        </w:rPr>
      </w:pPr>
      <w:r>
        <w:rPr>
          <w:noProof/>
          <w:szCs w:val="24"/>
        </w:rPr>
        <w:drawing>
          <wp:inline distT="0" distB="0" distL="0" distR="0" wp14:anchorId="2BE411FA" wp14:editId="24491843">
            <wp:extent cx="5486400" cy="2749060"/>
            <wp:effectExtent l="0" t="0" r="0" b="0"/>
            <wp:docPr id="26" name="Picture 2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text, application&#10;&#10;Description automatically generated"/>
                    <pic:cNvPicPr/>
                  </pic:nvPicPr>
                  <pic:blipFill>
                    <a:blip r:embed="rId38">
                      <a:extLst>
                        <a:ext uri="{28A0092B-C50C-407E-A947-70E740481C1C}">
                          <a14:useLocalDpi xmlns:a14="http://schemas.microsoft.com/office/drawing/2010/main" val="0"/>
                        </a:ext>
                      </a:extLst>
                    </a:blip>
                    <a:stretch>
                      <a:fillRect/>
                    </a:stretch>
                  </pic:blipFill>
                  <pic:spPr>
                    <a:xfrm>
                      <a:off x="0" y="0"/>
                      <a:ext cx="5486400" cy="2749060"/>
                    </a:xfrm>
                    <a:prstGeom prst="rect">
                      <a:avLst/>
                    </a:prstGeom>
                  </pic:spPr>
                </pic:pic>
              </a:graphicData>
            </a:graphic>
          </wp:inline>
        </w:drawing>
      </w:r>
    </w:p>
    <w:p w14:paraId="47D8F6B6" w14:textId="77777777" w:rsidR="000F6815" w:rsidRPr="00286D3B" w:rsidRDefault="000F6815" w:rsidP="000F6815">
      <w:pPr>
        <w:pStyle w:val="Figurecaption"/>
      </w:pPr>
      <w:bookmarkStart w:id="78" w:name="_Toc92366073"/>
      <w:bookmarkStart w:id="79" w:name="_Toc103854359"/>
      <w:r w:rsidRPr="00286D3B" w:rsidDel="00664EED">
        <w:t xml:space="preserve">Figure </w:t>
      </w:r>
      <w:r w:rsidRPr="00286D3B">
        <w:t>1</w:t>
      </w:r>
      <w:r>
        <w:t>6</w:t>
      </w:r>
      <w:r w:rsidRPr="00286D3B" w:rsidDel="00664EED">
        <w:t xml:space="preserve">. </w:t>
      </w:r>
      <w:r w:rsidRPr="005A6DF0" w:rsidDel="00664EED">
        <w:t>Chemical</w:t>
      </w:r>
      <w:r w:rsidRPr="00286D3B" w:rsidDel="00664EED">
        <w:t xml:space="preserve"> Property Comparison window.</w:t>
      </w:r>
      <w:bookmarkEnd w:id="78"/>
      <w:bookmarkEnd w:id="79"/>
    </w:p>
    <w:p w14:paraId="697D8D8A" w14:textId="77777777" w:rsidR="000F6815" w:rsidRPr="00286D3B" w:rsidRDefault="000F6815" w:rsidP="00911CBD">
      <w:pPr>
        <w:pStyle w:val="Heading2"/>
      </w:pPr>
      <w:bookmarkStart w:id="80" w:name="_Toc99449961"/>
      <w:bookmarkStart w:id="81" w:name="_Toc128041937"/>
      <w:r w:rsidRPr="00286D3B">
        <w:lastRenderedPageBreak/>
        <w:t>3.3</w:t>
      </w:r>
      <w:r w:rsidRPr="00286D3B">
        <w:tab/>
        <w:t xml:space="preserve">Configure </w:t>
      </w:r>
      <w:r w:rsidRPr="00980B39">
        <w:t>Human</w:t>
      </w:r>
      <w:r w:rsidRPr="00286D3B">
        <w:t xml:space="preserve"> Exposure</w:t>
      </w:r>
      <w:bookmarkEnd w:id="80"/>
      <w:bookmarkEnd w:id="81"/>
    </w:p>
    <w:p w14:paraId="10ABD6C7" w14:textId="77777777" w:rsidR="000F6815" w:rsidRPr="00286D3B" w:rsidRDefault="000F6815" w:rsidP="000F6815">
      <w:pPr>
        <w:pStyle w:val="BodyText"/>
      </w:pPr>
      <w:r w:rsidRPr="00286D3B">
        <w:rPr>
          <w:b/>
          <w:bCs/>
        </w:rPr>
        <w:t>Figure 1</w:t>
      </w:r>
      <w:r>
        <w:rPr>
          <w:b/>
          <w:bCs/>
        </w:rPr>
        <w:t>7</w:t>
      </w:r>
      <w:r w:rsidRPr="00286D3B">
        <w:rPr>
          <w:b/>
          <w:bCs/>
        </w:rPr>
        <w:t xml:space="preserve"> </w:t>
      </w:r>
      <w:r w:rsidRPr="00286D3B">
        <w:t xml:space="preserve">shows the </w:t>
      </w:r>
      <w:r w:rsidRPr="00286D3B">
        <w:rPr>
          <w:rStyle w:val="Button"/>
          <w:sz w:val="24"/>
        </w:rPr>
        <w:t>Human Exposure</w:t>
      </w:r>
      <w:r w:rsidRPr="00286D3B">
        <w:t xml:space="preserve"> tab. The Tool estimates risk for two human receptors: an adult farmer and a farm child; these cannot be changed. </w:t>
      </w:r>
      <w:r>
        <w:t>The Tool includes 15 exposure pathways for LAUs and</w:t>
      </w:r>
      <w:r>
        <w:rPr>
          <w:spacing w:val="-52"/>
        </w:rPr>
        <w:t xml:space="preserve">   </w:t>
      </w:r>
      <w:r>
        <w:t>3</w:t>
      </w:r>
      <w:r>
        <w:rPr>
          <w:spacing w:val="7"/>
        </w:rPr>
        <w:t xml:space="preserve"> </w:t>
      </w:r>
      <w:r>
        <w:t>for</w:t>
      </w:r>
      <w:r>
        <w:rPr>
          <w:spacing w:val="1"/>
        </w:rPr>
        <w:t xml:space="preserve"> </w:t>
      </w:r>
      <w:r>
        <w:t>surface</w:t>
      </w:r>
      <w:r>
        <w:rPr>
          <w:spacing w:val="-2"/>
        </w:rPr>
        <w:t xml:space="preserve"> </w:t>
      </w:r>
      <w:r>
        <w:t>disposal units.</w:t>
      </w:r>
      <w:r>
        <w:rPr>
          <w:spacing w:val="-2"/>
        </w:rPr>
        <w:t xml:space="preserve"> </w:t>
      </w:r>
      <w:r w:rsidRPr="00286D3B">
        <w:t xml:space="preserve"> For LAUs, some are applicable to all scenarios (crop, pasture, reclamation), and others are applicable only to </w:t>
      </w:r>
      <w:proofErr w:type="gramStart"/>
      <w:r w:rsidRPr="00286D3B">
        <w:t>particular scenarios</w:t>
      </w:r>
      <w:bookmarkStart w:id="82" w:name="_Hlk528686943"/>
      <w:proofErr w:type="gramEnd"/>
      <w:r w:rsidRPr="00286D3B">
        <w:t xml:space="preserve">. For convenience, the pathways are grouped into Pathways for All Scenarios, Additional Pathways for Crop Scenario, and Additional Pathways for Pasture/Reclamation Scenarios. The </w:t>
      </w:r>
      <w:r w:rsidRPr="00286D3B">
        <w:rPr>
          <w:rStyle w:val="Button"/>
          <w:sz w:val="24"/>
        </w:rPr>
        <w:t>Human Exposure</w:t>
      </w:r>
      <w:r w:rsidRPr="00286D3B">
        <w:t xml:space="preserve"> tab shows (and allows you to select) all pathways regardless of what scenario(s) you have chosen on the </w:t>
      </w:r>
      <w:r w:rsidRPr="00286D3B">
        <w:rPr>
          <w:rStyle w:val="Button"/>
          <w:sz w:val="24"/>
        </w:rPr>
        <w:t>Scenarios</w:t>
      </w:r>
      <w:r w:rsidRPr="00286D3B">
        <w:t xml:space="preserve"> tab; however, you will only get results for pathways that are applicable to the scenario(s) you have selected. </w:t>
      </w:r>
    </w:p>
    <w:p w14:paraId="2B5B5C7F" w14:textId="77777777" w:rsidR="000F6815" w:rsidRPr="00286D3B" w:rsidRDefault="000F6815" w:rsidP="000F6815">
      <w:pPr>
        <w:pStyle w:val="BodyText"/>
      </w:pPr>
      <w:r w:rsidRPr="00286D3B">
        <w:t xml:space="preserve">For surface disposal, the Tool runs only air, groundwater, and shower (unless one or more is deselected here). </w:t>
      </w:r>
    </w:p>
    <w:bookmarkEnd w:id="82"/>
    <w:p w14:paraId="6AF8438F" w14:textId="77777777" w:rsidR="000F6815" w:rsidRPr="00286D3B" w:rsidRDefault="000F6815" w:rsidP="000F6815">
      <w:pPr>
        <w:pStyle w:val="Insertfigure"/>
        <w:rPr>
          <w:b/>
          <w:bCs/>
          <w:szCs w:val="24"/>
        </w:rPr>
      </w:pPr>
      <w:r w:rsidRPr="00286D3B">
        <w:rPr>
          <w:b/>
          <w:bCs/>
          <w:noProof/>
          <w:szCs w:val="24"/>
        </w:rPr>
        <w:drawing>
          <wp:inline distT="0" distB="0" distL="0" distR="0" wp14:anchorId="26B91231" wp14:editId="24FBB1FA">
            <wp:extent cx="4879238" cy="3573815"/>
            <wp:effectExtent l="0" t="0" r="0" b="7620"/>
            <wp:docPr id="29" name="Picture 29" descr="Screen capture of the Human Exposure tab, where you can select what pathways to run (e.g., air, fish ingestions, beef inges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Screen capture of the Human Exposure tab, where you can select what pathways to run (e.g., air, fish ingestions, beef ingestion)."/>
                    <pic:cNvPicPr/>
                  </pic:nvPicPr>
                  <pic:blipFill rotWithShape="1">
                    <a:blip r:embed="rId39">
                      <a:extLst>
                        <a:ext uri="{28A0092B-C50C-407E-A947-70E740481C1C}">
                          <a14:useLocalDpi xmlns:a14="http://schemas.microsoft.com/office/drawing/2010/main" val="0"/>
                        </a:ext>
                      </a:extLst>
                    </a:blip>
                    <a:srcRect b="9315"/>
                    <a:stretch/>
                  </pic:blipFill>
                  <pic:spPr bwMode="auto">
                    <a:xfrm>
                      <a:off x="0" y="0"/>
                      <a:ext cx="4898444" cy="3587883"/>
                    </a:xfrm>
                    <a:prstGeom prst="rect">
                      <a:avLst/>
                    </a:prstGeom>
                    <a:ln>
                      <a:noFill/>
                    </a:ln>
                    <a:extLst>
                      <a:ext uri="{53640926-AAD7-44D8-BBD7-CCE9431645EC}">
                        <a14:shadowObscured xmlns:a14="http://schemas.microsoft.com/office/drawing/2010/main"/>
                      </a:ext>
                    </a:extLst>
                  </pic:spPr>
                </pic:pic>
              </a:graphicData>
            </a:graphic>
          </wp:inline>
        </w:drawing>
      </w:r>
    </w:p>
    <w:p w14:paraId="5144B378" w14:textId="77777777" w:rsidR="000F6815" w:rsidRPr="00286D3B" w:rsidRDefault="000F6815" w:rsidP="000F6815">
      <w:pPr>
        <w:pStyle w:val="Figurecaption"/>
      </w:pPr>
      <w:bookmarkStart w:id="83" w:name="_Toc92366074"/>
      <w:bookmarkStart w:id="84" w:name="_Toc103854360"/>
      <w:r w:rsidRPr="00286D3B">
        <w:t>Figure 1</w:t>
      </w:r>
      <w:r>
        <w:t>7</w:t>
      </w:r>
      <w:r w:rsidRPr="00286D3B">
        <w:t xml:space="preserve">. </w:t>
      </w:r>
      <w:r w:rsidRPr="00286D3B">
        <w:rPr>
          <w:smallCaps/>
        </w:rPr>
        <w:t>Human Exposure</w:t>
      </w:r>
      <w:r w:rsidRPr="00286D3B">
        <w:t xml:space="preserve"> tab: Select one or more pathways to run.</w:t>
      </w:r>
      <w:bookmarkEnd w:id="83"/>
      <w:bookmarkEnd w:id="84"/>
    </w:p>
    <w:p w14:paraId="53A5D96F" w14:textId="77777777" w:rsidR="000F6815" w:rsidRPr="00286D3B" w:rsidRDefault="000F6815" w:rsidP="000F6815">
      <w:pPr>
        <w:pStyle w:val="BodyTextfirst"/>
      </w:pPr>
      <w:bookmarkStart w:id="85" w:name="_Hlk92364654"/>
      <w:r w:rsidRPr="00286D3B">
        <w:t>In addition to the pathways shown in Figure 1</w:t>
      </w:r>
      <w:r>
        <w:t>7</w:t>
      </w:r>
      <w:r w:rsidRPr="00286D3B">
        <w:t xml:space="preserve">, the Tool also calculates a total ingestion risk for each LAU scenario that sums the risks from all ingestion pathways selected that are applicable to the scenario (thus, it will vary depending on what pathways are selected, even if everything else stays the same). The total ingestion risk is based on groundwater as the source for drinking water and does not include risks from surface water ingestion, even if the groundwater pathway has not been selected and is thus not included in total ingestion. See </w:t>
      </w:r>
      <w:r w:rsidRPr="00286D3B">
        <w:rPr>
          <w:b/>
          <w:bCs/>
        </w:rPr>
        <w:t>Appendix A</w:t>
      </w:r>
      <w:r w:rsidRPr="00286D3B">
        <w:t xml:space="preserve"> for more details. We strongly advise running all pathways, especially if you are interested in total ingestion risk; this does not impact run time. </w:t>
      </w:r>
    </w:p>
    <w:p w14:paraId="1C93652C" w14:textId="77777777" w:rsidR="000F6815" w:rsidRPr="00286D3B" w:rsidRDefault="000F6815" w:rsidP="00911CBD">
      <w:pPr>
        <w:pStyle w:val="Heading2"/>
      </w:pPr>
      <w:bookmarkStart w:id="86" w:name="_Toc99449962"/>
      <w:bookmarkStart w:id="87" w:name="_Toc128041938"/>
      <w:bookmarkEnd w:id="85"/>
      <w:r w:rsidRPr="00286D3B">
        <w:lastRenderedPageBreak/>
        <w:t>3.4</w:t>
      </w:r>
      <w:r w:rsidRPr="00286D3B">
        <w:tab/>
        <w:t xml:space="preserve">Configure </w:t>
      </w:r>
      <w:r w:rsidRPr="00980B39">
        <w:t>Ecological</w:t>
      </w:r>
      <w:r w:rsidRPr="00286D3B">
        <w:t xml:space="preserve"> Exposure</w:t>
      </w:r>
      <w:bookmarkEnd w:id="86"/>
      <w:bookmarkEnd w:id="87"/>
    </w:p>
    <w:p w14:paraId="5D9D0766" w14:textId="77777777" w:rsidR="000F6815" w:rsidRPr="00286D3B" w:rsidRDefault="000F6815" w:rsidP="000F6815">
      <w:pPr>
        <w:pStyle w:val="BodyTextlast"/>
      </w:pPr>
      <w:r w:rsidRPr="00286D3B">
        <w:rPr>
          <w:b/>
          <w:bCs/>
        </w:rPr>
        <w:t>Figure 1</w:t>
      </w:r>
      <w:r>
        <w:rPr>
          <w:b/>
          <w:bCs/>
        </w:rPr>
        <w:t>8</w:t>
      </w:r>
      <w:r w:rsidRPr="00286D3B">
        <w:t xml:space="preserve"> shows the </w:t>
      </w:r>
      <w:r w:rsidRPr="00286D3B">
        <w:rPr>
          <w:rStyle w:val="Button"/>
          <w:sz w:val="24"/>
        </w:rPr>
        <w:t>Ecological Exposure</w:t>
      </w:r>
      <w:r w:rsidRPr="00286D3B">
        <w:t xml:space="preserve"> tab. Here, you can select receptors to run and edit diet fractions. The receptors are grouped into </w:t>
      </w:r>
      <w:r>
        <w:t xml:space="preserve">two </w:t>
      </w:r>
      <w:r w:rsidRPr="00286D3B">
        <w:t>categories</w:t>
      </w:r>
      <w:r>
        <w:t xml:space="preserve">: aquatic and terrestrial Aquatic receptors are those that live in waterbodies: amphibians, aquatic invertebrates, aquatic plant, fish, and sediment biota; the “aquatic community” receptor includes </w:t>
      </w:r>
      <w:proofErr w:type="gramStart"/>
      <w:r>
        <w:t>all of</w:t>
      </w:r>
      <w:proofErr w:type="gramEnd"/>
      <w:r>
        <w:t xml:space="preserve"> those more specific aquatic receptors and is typically used only when more specific receptor data are not available. Terrestrial receptors are those living on land. And include a variety of birds and mammals, as well as soil invertebrates and terrestrial plants. </w:t>
      </w:r>
    </w:p>
    <w:p w14:paraId="6C31B9A8" w14:textId="77777777" w:rsidR="000F6815" w:rsidRPr="00286D3B" w:rsidRDefault="000F6815" w:rsidP="000F6815">
      <w:pPr>
        <w:pStyle w:val="Insertfigure"/>
        <w:rPr>
          <w:szCs w:val="24"/>
        </w:rPr>
      </w:pPr>
      <w:r w:rsidRPr="00C6219F">
        <w:rPr>
          <w:noProof/>
        </w:rPr>
        <w:t xml:space="preserve"> </w:t>
      </w:r>
      <w:r>
        <w:rPr>
          <w:noProof/>
        </w:rPr>
        <w:drawing>
          <wp:inline distT="0" distB="0" distL="0" distR="0" wp14:anchorId="66E784EE" wp14:editId="5AE398BE">
            <wp:extent cx="5943600" cy="465709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4657090"/>
                    </a:xfrm>
                    <a:prstGeom prst="rect">
                      <a:avLst/>
                    </a:prstGeom>
                  </pic:spPr>
                </pic:pic>
              </a:graphicData>
            </a:graphic>
          </wp:inline>
        </w:drawing>
      </w:r>
    </w:p>
    <w:p w14:paraId="4AAC478F" w14:textId="77777777" w:rsidR="000F6815" w:rsidRPr="00286D3B" w:rsidRDefault="000F6815" w:rsidP="000F6815">
      <w:pPr>
        <w:pStyle w:val="Figurecaption"/>
      </w:pPr>
      <w:bookmarkStart w:id="88" w:name="_Toc92366075"/>
      <w:bookmarkStart w:id="89" w:name="_Toc103854361"/>
      <w:r w:rsidRPr="00286D3B" w:rsidDel="00AC640A">
        <w:t xml:space="preserve">Figure </w:t>
      </w:r>
      <w:r w:rsidRPr="00286D3B">
        <w:t>1</w:t>
      </w:r>
      <w:r>
        <w:t>8</w:t>
      </w:r>
      <w:r w:rsidRPr="00286D3B" w:rsidDel="00AC640A">
        <w:t xml:space="preserve">. </w:t>
      </w:r>
      <w:r w:rsidRPr="00286D3B" w:rsidDel="00AC640A">
        <w:rPr>
          <w:smallCaps/>
        </w:rPr>
        <w:t xml:space="preserve">Ecological </w:t>
      </w:r>
      <w:r w:rsidRPr="00286D3B">
        <w:rPr>
          <w:smallCaps/>
        </w:rPr>
        <w:t>Exposure</w:t>
      </w:r>
      <w:r w:rsidRPr="00286D3B" w:rsidDel="00AC640A">
        <w:t xml:space="preserve"> tab: Select one or more.</w:t>
      </w:r>
      <w:bookmarkEnd w:id="88"/>
      <w:bookmarkEnd w:id="89"/>
    </w:p>
    <w:p w14:paraId="4E421795" w14:textId="77777777" w:rsidR="000F6815" w:rsidRPr="00286D3B" w:rsidRDefault="000F6815" w:rsidP="000F6815">
      <w:pPr>
        <w:pStyle w:val="BodyText"/>
      </w:pPr>
      <w:r w:rsidRPr="00286D3B">
        <w:t xml:space="preserve">Click on the checkbox to the left of a receptor to select or deselect it. To select all receptors, click the </w:t>
      </w:r>
      <w:r w:rsidRPr="00286D3B">
        <w:rPr>
          <w:rStyle w:val="Button"/>
          <w:sz w:val="24"/>
        </w:rPr>
        <w:t xml:space="preserve">Select All </w:t>
      </w:r>
      <w:r w:rsidRPr="00286D3B">
        <w:t xml:space="preserve">button on the left side of the tab. To deselect all receptors, click the </w:t>
      </w:r>
      <w:r w:rsidRPr="00286D3B">
        <w:rPr>
          <w:rStyle w:val="Button"/>
          <w:sz w:val="24"/>
        </w:rPr>
        <w:t>Deselect All</w:t>
      </w:r>
      <w:r w:rsidRPr="00286D3B">
        <w:rPr>
          <w:i/>
          <w:iCs/>
        </w:rPr>
        <w:t xml:space="preserve"> </w:t>
      </w:r>
      <w:r w:rsidRPr="00286D3B">
        <w:t xml:space="preserve">button. Use the scroll bar on the right to scroll through the entire list of receptors. </w:t>
      </w:r>
    </w:p>
    <w:p w14:paraId="588F98C7" w14:textId="77777777" w:rsidR="000F6815" w:rsidRDefault="000F6815" w:rsidP="000F6815">
      <w:pPr>
        <w:pStyle w:val="BodyText"/>
      </w:pPr>
      <w:r>
        <w:t xml:space="preserve">Unlike human receptors, which have multiple exposure pathways, the ecological receptors each have only one associated pathway. Following the receptor name is the pathway type relevant to that receptor, and whether the toxicity value is concentration or dose based. Receptors that are </w:t>
      </w:r>
      <w:r>
        <w:lastRenderedPageBreak/>
        <w:t>specific species of birds and mammals have ingestion toxicity values, while all others (including the general “birds” and mammals” receptors) have direct contact toxicity values.</w:t>
      </w:r>
      <w:r>
        <w:rPr>
          <w:rStyle w:val="FootnoteReference"/>
        </w:rPr>
        <w:footnoteReference w:id="5"/>
      </w:r>
      <w:r>
        <w:t xml:space="preserve">  </w:t>
      </w:r>
    </w:p>
    <w:p w14:paraId="17E4E87B" w14:textId="77777777" w:rsidR="000F6815" w:rsidRPr="00286D3B" w:rsidRDefault="000F6815" w:rsidP="000F6815">
      <w:pPr>
        <w:pStyle w:val="BodyText"/>
      </w:pPr>
      <w:r>
        <w:t xml:space="preserve">For receptors with a dose-based toxicity value, the overall average diet is represented by a set of diet fractions for 20 potential dietary items. The default diet fractions are intended to be broadly representative and do not reflect any </w:t>
      </w:r>
      <w:proofErr w:type="gramStart"/>
      <w:r>
        <w:t>particular sex</w:t>
      </w:r>
      <w:proofErr w:type="gramEnd"/>
      <w:r>
        <w:t xml:space="preserve">, life stage, or seasonality (consistent with the use of annual average media and prey concentrations).  You can modify the default diet fractions by clicking on the </w:t>
      </w:r>
      <w:r w:rsidRPr="469955CA">
        <w:rPr>
          <w:rStyle w:val="Button"/>
          <w:sz w:val="24"/>
        </w:rPr>
        <w:t>View/Edit Diet Fractions</w:t>
      </w:r>
      <w:r>
        <w:t xml:space="preserve"> button to the right of the pathway, as shown in </w:t>
      </w:r>
      <w:r w:rsidRPr="469955CA">
        <w:rPr>
          <w:b/>
          <w:bCs/>
        </w:rPr>
        <w:t>Figure 19</w:t>
      </w:r>
      <w:r>
        <w:t xml:space="preserve">. (Diet fractions are not used for concentration-based toxicity values, so if you click on the </w:t>
      </w:r>
      <w:r w:rsidRPr="469955CA">
        <w:rPr>
          <w:rStyle w:val="Button"/>
          <w:sz w:val="24"/>
        </w:rPr>
        <w:t>View/Edit Diet Fractions</w:t>
      </w:r>
      <w:r>
        <w:t xml:space="preserve"> button for one of those receptors, you will get a message saying diet fractions are not used instead of the form in Figure 19.) </w:t>
      </w:r>
      <w:r w:rsidRPr="00286D3B">
        <w:t xml:space="preserve">The </w:t>
      </w:r>
      <w:r w:rsidRPr="00286D3B">
        <w:rPr>
          <w:rStyle w:val="Button"/>
          <w:sz w:val="24"/>
        </w:rPr>
        <w:t xml:space="preserve">View/Edit Receptor Diet </w:t>
      </w:r>
      <w:r w:rsidRPr="00286D3B">
        <w:t xml:space="preserve">form shows only the food items </w:t>
      </w:r>
      <w:r>
        <w:t xml:space="preserve">that might be </w:t>
      </w:r>
      <w:r w:rsidRPr="00286D3B">
        <w:t xml:space="preserve">eaten by the selected receptor; additional food items cannot be added. The dietary fraction for any food item may be set to zero, but the dietary fractions for all food items </w:t>
      </w:r>
      <w:r>
        <w:t xml:space="preserve">for a receptor </w:t>
      </w:r>
      <w:r w:rsidRPr="00286D3B">
        <w:t xml:space="preserve">must sum to 1, or you will get an error message when you try to close the form. Changes are saved immediately, so click on the × in the upper right-hand corner of the window to close the form. The user-modified flag cannot be edited; the Tool will automatically check it when you change a dietary fraction. </w:t>
      </w:r>
    </w:p>
    <w:p w14:paraId="43B77686" w14:textId="77777777" w:rsidR="000F6815" w:rsidRPr="00286D3B" w:rsidRDefault="000F6815" w:rsidP="000F6815">
      <w:pPr>
        <w:pStyle w:val="Insertfigure"/>
        <w:rPr>
          <w:szCs w:val="24"/>
        </w:rPr>
      </w:pPr>
      <w:r w:rsidRPr="00286D3B">
        <w:rPr>
          <w:noProof/>
          <w:szCs w:val="24"/>
        </w:rPr>
        <w:drawing>
          <wp:inline distT="0" distB="0" distL="0" distR="0" wp14:anchorId="68679BA5" wp14:editId="69CAF4FC">
            <wp:extent cx="5943600" cy="2156346"/>
            <wp:effectExtent l="0" t="0" r="0" b="0"/>
            <wp:docPr id="4" name="Picture 4" descr="Screen capture of the View/Edit Receptor Diet form. Here, you can change the diet of an ecological receptor by selecting fraction of diet made up of specific food items. Only food items relevant to the receptor are shown. All fractions must sum t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Screen capture of the View/Edit Receptor Diet form. Here, you can change the diet of an ecological receptor by selecting fraction of diet made up of specific food items. Only food items relevant to the receptor are shown. All fractions must sum to 1."/>
                    <pic:cNvPicPr/>
                  </pic:nvPicPr>
                  <pic:blipFill rotWithShape="1">
                    <a:blip r:embed="rId41">
                      <a:extLst>
                        <a:ext uri="{28A0092B-C50C-407E-A947-70E740481C1C}">
                          <a14:useLocalDpi xmlns:a14="http://schemas.microsoft.com/office/drawing/2010/main" val="0"/>
                        </a:ext>
                      </a:extLst>
                    </a:blip>
                    <a:srcRect b="6631"/>
                    <a:stretch/>
                  </pic:blipFill>
                  <pic:spPr bwMode="auto">
                    <a:xfrm>
                      <a:off x="0" y="0"/>
                      <a:ext cx="5943600" cy="2156346"/>
                    </a:xfrm>
                    <a:prstGeom prst="rect">
                      <a:avLst/>
                    </a:prstGeom>
                    <a:ln>
                      <a:noFill/>
                    </a:ln>
                    <a:extLst>
                      <a:ext uri="{53640926-AAD7-44D8-BBD7-CCE9431645EC}">
                        <a14:shadowObscured xmlns:a14="http://schemas.microsoft.com/office/drawing/2010/main"/>
                      </a:ext>
                    </a:extLst>
                  </pic:spPr>
                </pic:pic>
              </a:graphicData>
            </a:graphic>
          </wp:inline>
        </w:drawing>
      </w:r>
    </w:p>
    <w:p w14:paraId="704AC33A" w14:textId="77777777" w:rsidR="000F6815" w:rsidRPr="00286D3B" w:rsidDel="00AC640A" w:rsidRDefault="000F6815" w:rsidP="000F6815">
      <w:pPr>
        <w:pStyle w:val="Figurecaption"/>
      </w:pPr>
      <w:bookmarkStart w:id="90" w:name="_Toc92366076"/>
      <w:bookmarkStart w:id="91" w:name="_Toc103854362"/>
      <w:r w:rsidRPr="00286D3B" w:rsidDel="00AC640A">
        <w:t xml:space="preserve">Figure </w:t>
      </w:r>
      <w:r w:rsidRPr="00286D3B">
        <w:t>1</w:t>
      </w:r>
      <w:r>
        <w:t>9</w:t>
      </w:r>
      <w:r w:rsidRPr="00286D3B" w:rsidDel="00AC640A">
        <w:t xml:space="preserve">. </w:t>
      </w:r>
      <w:r w:rsidRPr="00286D3B">
        <w:t>View/Edit Receptor Diet</w:t>
      </w:r>
      <w:r w:rsidRPr="00286D3B" w:rsidDel="00AC640A">
        <w:t xml:space="preserve"> </w:t>
      </w:r>
      <w:r w:rsidRPr="00286D3B">
        <w:t>form.</w:t>
      </w:r>
      <w:bookmarkEnd w:id="90"/>
      <w:bookmarkEnd w:id="91"/>
    </w:p>
    <w:p w14:paraId="7F306C05" w14:textId="77777777" w:rsidR="000F6815" w:rsidRPr="00286D3B" w:rsidRDefault="000F6815" w:rsidP="00911CBD">
      <w:pPr>
        <w:pStyle w:val="Heading2"/>
      </w:pPr>
      <w:bookmarkStart w:id="92" w:name="_Toc99449963"/>
      <w:bookmarkStart w:id="93" w:name="_Toc128041939"/>
      <w:r w:rsidRPr="00286D3B">
        <w:t>3.5</w:t>
      </w:r>
      <w:r w:rsidRPr="00286D3B">
        <w:tab/>
      </w:r>
      <w:r w:rsidRPr="00980B39">
        <w:t>View</w:t>
      </w:r>
      <w:r w:rsidRPr="00286D3B">
        <w:t xml:space="preserve"> Inputs</w:t>
      </w:r>
      <w:bookmarkEnd w:id="92"/>
      <w:bookmarkEnd w:id="93"/>
    </w:p>
    <w:p w14:paraId="7FAD0801" w14:textId="77777777" w:rsidR="000F6815" w:rsidRPr="00286D3B" w:rsidRDefault="000F6815" w:rsidP="000F6815">
      <w:pPr>
        <w:pStyle w:val="BodyText"/>
      </w:pPr>
      <w:r w:rsidRPr="00286D3B">
        <w:t xml:space="preserve">The last tab on the </w:t>
      </w:r>
      <w:r w:rsidRPr="00286D3B">
        <w:rPr>
          <w:rStyle w:val="Button"/>
          <w:sz w:val="24"/>
        </w:rPr>
        <w:t>Configure Model</w:t>
      </w:r>
      <w:r w:rsidRPr="00286D3B">
        <w:t xml:space="preserve"> screen is the </w:t>
      </w:r>
      <w:r w:rsidRPr="00286D3B">
        <w:rPr>
          <w:rStyle w:val="Button"/>
          <w:sz w:val="24"/>
        </w:rPr>
        <w:t>Inputs</w:t>
      </w:r>
      <w:r w:rsidRPr="00286D3B">
        <w:t xml:space="preserve"> tab. Here, you can review all inputs as they are currently set and that the Tool will use for the next run if you run now. Many of these inputs cannot be directly changed. This tab contains seven sub-tabs (note that screen captures show inputs for an LAU only; for surface disposal, parameters and values may differ, but the layout is the same):</w:t>
      </w:r>
    </w:p>
    <w:p w14:paraId="2C1908DF" w14:textId="77777777" w:rsidR="000F6815" w:rsidRPr="00286D3B" w:rsidRDefault="000F6815" w:rsidP="00347221">
      <w:pPr>
        <w:pStyle w:val="ListBullet"/>
      </w:pPr>
      <w:r w:rsidRPr="00286D3B">
        <w:rPr>
          <w:rStyle w:val="Button"/>
          <w:b/>
          <w:sz w:val="24"/>
        </w:rPr>
        <w:t>Scenario</w:t>
      </w:r>
      <w:r w:rsidRPr="00286D3B">
        <w:rPr>
          <w:b/>
          <w:bCs/>
        </w:rPr>
        <w:t>:</w:t>
      </w:r>
      <w:r w:rsidRPr="00286D3B">
        <w:t xml:space="preserve"> This sub-tab shows general inputs that vary by application scenario, such as tilling depth, or liner scenarios, for scenarios currently selected (</w:t>
      </w:r>
      <w:r w:rsidRPr="00286D3B">
        <w:rPr>
          <w:b/>
          <w:bCs/>
        </w:rPr>
        <w:t xml:space="preserve">Figure </w:t>
      </w:r>
      <w:r>
        <w:rPr>
          <w:b/>
          <w:bCs/>
        </w:rPr>
        <w:t>20</w:t>
      </w:r>
      <w:r w:rsidRPr="00286D3B">
        <w:t>). These inputs cannot be modified.</w:t>
      </w:r>
    </w:p>
    <w:p w14:paraId="57762C40" w14:textId="77777777" w:rsidR="000F6815" w:rsidRPr="00286D3B" w:rsidRDefault="000F6815" w:rsidP="00347221">
      <w:pPr>
        <w:pStyle w:val="ListBullet"/>
      </w:pPr>
      <w:r w:rsidRPr="00286D3B">
        <w:rPr>
          <w:rStyle w:val="Button"/>
          <w:b/>
          <w:sz w:val="24"/>
        </w:rPr>
        <w:t>Fate and transport</w:t>
      </w:r>
      <w:r w:rsidRPr="00286D3B">
        <w:rPr>
          <w:b/>
          <w:bCs/>
        </w:rPr>
        <w:t>:</w:t>
      </w:r>
      <w:r w:rsidRPr="00286D3B">
        <w:t xml:space="preserve"> This sub-tab shows general inputs that do not vary by application or liner scenario (</w:t>
      </w:r>
      <w:r w:rsidRPr="00286D3B">
        <w:rPr>
          <w:b/>
          <w:bCs/>
        </w:rPr>
        <w:t>Figure 2</w:t>
      </w:r>
      <w:r>
        <w:rPr>
          <w:b/>
          <w:bCs/>
        </w:rPr>
        <w:t>1</w:t>
      </w:r>
      <w:r w:rsidRPr="00286D3B">
        <w:t xml:space="preserve">). Most of these inputs, except percent solids in land-applied </w:t>
      </w:r>
      <w:r w:rsidRPr="00286D3B">
        <w:lastRenderedPageBreak/>
        <w:t xml:space="preserve">biosolids, cannot be modified. Percent solids in land-applied biosolids can be modified on the </w:t>
      </w:r>
      <w:r w:rsidRPr="00286D3B">
        <w:rPr>
          <w:rStyle w:val="Button"/>
          <w:sz w:val="24"/>
        </w:rPr>
        <w:t>Scenario</w:t>
      </w:r>
      <w:r w:rsidRPr="00286D3B">
        <w:t xml:space="preserve"> tab of the </w:t>
      </w:r>
      <w:r w:rsidRPr="00286D3B">
        <w:rPr>
          <w:rStyle w:val="Button"/>
          <w:sz w:val="24"/>
        </w:rPr>
        <w:t>Configure Model</w:t>
      </w:r>
      <w:r w:rsidRPr="00286D3B">
        <w:t xml:space="preserve"> screen; percent solids in a surface disposal unit cannot be modified.</w:t>
      </w:r>
    </w:p>
    <w:p w14:paraId="6B8C79E6" w14:textId="77777777" w:rsidR="000F6815" w:rsidRPr="00286D3B" w:rsidRDefault="000F6815" w:rsidP="00347221">
      <w:pPr>
        <w:pStyle w:val="ListBullet"/>
      </w:pPr>
      <w:r w:rsidRPr="00286D3B">
        <w:rPr>
          <w:rStyle w:val="Button"/>
          <w:b/>
          <w:sz w:val="24"/>
        </w:rPr>
        <w:t>Chemical</w:t>
      </w:r>
      <w:r w:rsidRPr="00286D3B">
        <w:rPr>
          <w:b/>
          <w:bCs/>
        </w:rPr>
        <w:t xml:space="preserve">: </w:t>
      </w:r>
      <w:r w:rsidRPr="00286D3B">
        <w:t>This sub-tab shows most chemical-specific inputs, including physical-chemical properties and human toxicity values (</w:t>
      </w:r>
      <w:r w:rsidRPr="00286D3B">
        <w:rPr>
          <w:b/>
          <w:bCs/>
        </w:rPr>
        <w:t>Figure 2</w:t>
      </w:r>
      <w:r>
        <w:rPr>
          <w:b/>
          <w:bCs/>
        </w:rPr>
        <w:t>2</w:t>
      </w:r>
      <w:r w:rsidRPr="00286D3B">
        <w:t xml:space="preserve">). It does not include ecological toxicity values (those are on the eco toxicity tab) or ecological BAFs (those are on the eco BAFs tab). Because these values can be modified on the </w:t>
      </w:r>
      <w:r w:rsidRPr="00286D3B">
        <w:rPr>
          <w:rStyle w:val="Button"/>
          <w:sz w:val="24"/>
        </w:rPr>
        <w:t>View/Edit Chemical</w:t>
      </w:r>
      <w:r w:rsidRPr="00286D3B">
        <w:t xml:space="preserve"> form, the table includes a column called </w:t>
      </w:r>
      <w:r w:rsidRPr="00286D3B">
        <w:rPr>
          <w:rStyle w:val="Button"/>
          <w:sz w:val="24"/>
        </w:rPr>
        <w:t xml:space="preserve">User Modified </w:t>
      </w:r>
      <w:r w:rsidRPr="00286D3B">
        <w:rPr>
          <w:rStyle w:val="BodyTextChar"/>
        </w:rPr>
        <w:t xml:space="preserve">that is checked if the value has been changed. </w:t>
      </w:r>
    </w:p>
    <w:p w14:paraId="072D66EB" w14:textId="77777777" w:rsidR="000F6815" w:rsidRPr="00286D3B" w:rsidRDefault="000F6815" w:rsidP="00347221">
      <w:pPr>
        <w:pStyle w:val="ListBullet"/>
      </w:pPr>
      <w:r w:rsidRPr="00286D3B">
        <w:rPr>
          <w:rStyle w:val="Button"/>
          <w:b/>
          <w:sz w:val="24"/>
        </w:rPr>
        <w:t>Human exposure</w:t>
      </w:r>
      <w:r w:rsidRPr="00286D3B">
        <w:rPr>
          <w:b/>
          <w:bCs/>
        </w:rPr>
        <w:t>:</w:t>
      </w:r>
      <w:r w:rsidRPr="00286D3B">
        <w:t xml:space="preserve"> This sub-tab shows human exposure factor inputs, such as body weight, consumption rates, etc. (</w:t>
      </w:r>
      <w:r w:rsidRPr="00286D3B">
        <w:rPr>
          <w:b/>
          <w:bCs/>
        </w:rPr>
        <w:t>Figure 2</w:t>
      </w:r>
      <w:r>
        <w:rPr>
          <w:b/>
          <w:bCs/>
        </w:rPr>
        <w:t>3</w:t>
      </w:r>
      <w:r w:rsidRPr="00286D3B">
        <w:t>). These inputs cannot be modified.</w:t>
      </w:r>
    </w:p>
    <w:p w14:paraId="73D1EA4F" w14:textId="77777777" w:rsidR="000F6815" w:rsidRPr="00286D3B" w:rsidRDefault="000F6815" w:rsidP="00347221">
      <w:pPr>
        <w:pStyle w:val="ListBullet"/>
      </w:pPr>
      <w:r w:rsidRPr="00286D3B">
        <w:rPr>
          <w:rStyle w:val="Button"/>
          <w:b/>
          <w:sz w:val="24"/>
        </w:rPr>
        <w:t>Eco exposure</w:t>
      </w:r>
      <w:r w:rsidRPr="00286D3B">
        <w:rPr>
          <w:b/>
          <w:bCs/>
        </w:rPr>
        <w:t>:</w:t>
      </w:r>
      <w:r w:rsidRPr="00286D3B">
        <w:t xml:space="preserve"> This sub-tab shows ecological exposure factors for the ecological receptors currently selected (</w:t>
      </w:r>
      <w:r w:rsidRPr="00286D3B">
        <w:rPr>
          <w:b/>
          <w:bCs/>
        </w:rPr>
        <w:t>Figure 2</w:t>
      </w:r>
      <w:r>
        <w:rPr>
          <w:b/>
          <w:bCs/>
        </w:rPr>
        <w:t>4</w:t>
      </w:r>
      <w:r w:rsidRPr="00286D3B">
        <w:t xml:space="preserve">). Only the diet fractions can be modified, on the </w:t>
      </w:r>
      <w:r w:rsidRPr="00286D3B">
        <w:rPr>
          <w:rStyle w:val="Button"/>
          <w:sz w:val="24"/>
        </w:rPr>
        <w:t>View/Edit Receptor Diet</w:t>
      </w:r>
      <w:r w:rsidRPr="00286D3B">
        <w:t xml:space="preserve"> form. Note these inputs are only used for LAUs.</w:t>
      </w:r>
    </w:p>
    <w:p w14:paraId="5716C798" w14:textId="77777777" w:rsidR="000F6815" w:rsidRPr="00286D3B" w:rsidRDefault="000F6815" w:rsidP="00347221">
      <w:pPr>
        <w:pStyle w:val="ListBullet"/>
      </w:pPr>
      <w:r w:rsidRPr="00286D3B">
        <w:rPr>
          <w:rStyle w:val="Button"/>
          <w:b/>
          <w:sz w:val="24"/>
        </w:rPr>
        <w:t>Eco BAFs</w:t>
      </w:r>
      <w:r w:rsidRPr="00286D3B">
        <w:rPr>
          <w:b/>
          <w:bCs/>
        </w:rPr>
        <w:t>:</w:t>
      </w:r>
      <w:r w:rsidRPr="00286D3B">
        <w:t xml:space="preserve"> This sub-tab shows ecological bioaccumulation factors for chemicals currently selected (</w:t>
      </w:r>
      <w:r w:rsidRPr="00286D3B">
        <w:rPr>
          <w:b/>
          <w:bCs/>
        </w:rPr>
        <w:t>Figure 2</w:t>
      </w:r>
      <w:r>
        <w:rPr>
          <w:b/>
          <w:bCs/>
        </w:rPr>
        <w:t>5</w:t>
      </w:r>
      <w:r w:rsidRPr="00286D3B">
        <w:t xml:space="preserve">). Because these values can be modified on the </w:t>
      </w:r>
      <w:r w:rsidRPr="00286D3B">
        <w:rPr>
          <w:rStyle w:val="Button"/>
          <w:sz w:val="24"/>
        </w:rPr>
        <w:t>View/Edit Chemical</w:t>
      </w:r>
      <w:r w:rsidRPr="00286D3B">
        <w:t xml:space="preserve"> form, the table includes a column called </w:t>
      </w:r>
      <w:r w:rsidRPr="00286D3B">
        <w:rPr>
          <w:rStyle w:val="Button"/>
          <w:sz w:val="24"/>
        </w:rPr>
        <w:t xml:space="preserve">User Modified </w:t>
      </w:r>
      <w:r w:rsidRPr="00286D3B">
        <w:rPr>
          <w:rStyle w:val="BodyTextChar"/>
        </w:rPr>
        <w:t xml:space="preserve">that is checked if the value has been changed. </w:t>
      </w:r>
      <w:r w:rsidRPr="00286D3B">
        <w:t>Note these inputs are only used for LAUs.</w:t>
      </w:r>
    </w:p>
    <w:p w14:paraId="1FF3E577" w14:textId="77777777" w:rsidR="000F6815" w:rsidRPr="00286D3B" w:rsidRDefault="000F6815" w:rsidP="00347221">
      <w:pPr>
        <w:pStyle w:val="ListBulletlast"/>
      </w:pPr>
      <w:r w:rsidRPr="00286D3B">
        <w:rPr>
          <w:rStyle w:val="Button"/>
          <w:b/>
          <w:sz w:val="24"/>
        </w:rPr>
        <w:t>Eco toxicity</w:t>
      </w:r>
      <w:r w:rsidRPr="00286D3B">
        <w:rPr>
          <w:b/>
          <w:bCs/>
        </w:rPr>
        <w:t>:</w:t>
      </w:r>
      <w:r w:rsidRPr="00286D3B">
        <w:t xml:space="preserve"> This sub-tab shows ecological toxicity values for chemicals and ecological receptors currently selected (</w:t>
      </w:r>
      <w:r w:rsidRPr="00286D3B">
        <w:rPr>
          <w:b/>
          <w:bCs/>
        </w:rPr>
        <w:t>Figure 2</w:t>
      </w:r>
      <w:r>
        <w:rPr>
          <w:b/>
          <w:bCs/>
        </w:rPr>
        <w:t>6</w:t>
      </w:r>
      <w:r w:rsidRPr="00286D3B">
        <w:t xml:space="preserve">). Because these values can be modified on the </w:t>
      </w:r>
      <w:r w:rsidRPr="00286D3B">
        <w:rPr>
          <w:rStyle w:val="Button"/>
          <w:sz w:val="24"/>
        </w:rPr>
        <w:t>View/Edit Chemical</w:t>
      </w:r>
      <w:r w:rsidRPr="00286D3B">
        <w:t xml:space="preserve"> form, the table includes a column called </w:t>
      </w:r>
      <w:r w:rsidRPr="00286D3B">
        <w:rPr>
          <w:rStyle w:val="Button"/>
          <w:sz w:val="24"/>
        </w:rPr>
        <w:t xml:space="preserve">User Modified </w:t>
      </w:r>
      <w:r w:rsidRPr="00286D3B">
        <w:rPr>
          <w:rStyle w:val="BodyTextChar"/>
        </w:rPr>
        <w:t xml:space="preserve">that is checked if the value has been changed. </w:t>
      </w:r>
      <w:r w:rsidRPr="00286D3B">
        <w:t>Note these inputs are only used for LAUs.</w:t>
      </w:r>
    </w:p>
    <w:p w14:paraId="6AB6D880" w14:textId="77777777" w:rsidR="000F6815" w:rsidRPr="00286D3B" w:rsidRDefault="000F6815" w:rsidP="000F6815">
      <w:pPr>
        <w:pStyle w:val="Insertfigure"/>
        <w:rPr>
          <w:szCs w:val="24"/>
        </w:rPr>
      </w:pPr>
      <w:r w:rsidRPr="00286D3B">
        <w:rPr>
          <w:noProof/>
          <w:szCs w:val="24"/>
        </w:rPr>
        <w:drawing>
          <wp:inline distT="0" distB="0" distL="0" distR="0" wp14:anchorId="2A2564E7" wp14:editId="779CC755">
            <wp:extent cx="5943600" cy="1619250"/>
            <wp:effectExtent l="0" t="0" r="0" b="0"/>
            <wp:docPr id="19" name="Picture 19" descr="Screen capture of the Scenario input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Screen capture of the Scenario inputs tab"/>
                    <pic:cNvPicPr/>
                  </pic:nvPicPr>
                  <pic:blipFill>
                    <a:blip r:embed="rId42">
                      <a:extLst>
                        <a:ext uri="{28A0092B-C50C-407E-A947-70E740481C1C}">
                          <a14:useLocalDpi xmlns:a14="http://schemas.microsoft.com/office/drawing/2010/main" val="0"/>
                        </a:ext>
                      </a:extLst>
                    </a:blip>
                    <a:stretch>
                      <a:fillRect/>
                    </a:stretch>
                  </pic:blipFill>
                  <pic:spPr>
                    <a:xfrm>
                      <a:off x="0" y="0"/>
                      <a:ext cx="5943600" cy="1619250"/>
                    </a:xfrm>
                    <a:prstGeom prst="rect">
                      <a:avLst/>
                    </a:prstGeom>
                  </pic:spPr>
                </pic:pic>
              </a:graphicData>
            </a:graphic>
          </wp:inline>
        </w:drawing>
      </w:r>
    </w:p>
    <w:p w14:paraId="039C9147" w14:textId="77777777" w:rsidR="000F6815" w:rsidRPr="00533424" w:rsidRDefault="000F6815" w:rsidP="000F6815">
      <w:pPr>
        <w:pStyle w:val="Figurecaption"/>
        <w:rPr>
          <w:rStyle w:val="FigurecaptionChar"/>
          <w:b/>
          <w:bCs/>
        </w:rPr>
      </w:pPr>
      <w:bookmarkStart w:id="94" w:name="_Toc92366077"/>
      <w:bookmarkStart w:id="95" w:name="_Toc103854363"/>
      <w:r w:rsidRPr="00533424">
        <w:rPr>
          <w:rStyle w:val="FigurecaptionChar"/>
          <w:b/>
          <w:bCs/>
        </w:rPr>
        <w:t xml:space="preserve">Figure </w:t>
      </w:r>
      <w:r>
        <w:rPr>
          <w:rStyle w:val="FigurecaptionChar"/>
          <w:b/>
          <w:bCs/>
        </w:rPr>
        <w:t>20</w:t>
      </w:r>
      <w:r w:rsidRPr="00533424">
        <w:rPr>
          <w:rStyle w:val="FigurecaptionChar"/>
          <w:b/>
          <w:bCs/>
        </w:rPr>
        <w:t>. Inputs tab: Scenario inputs.</w:t>
      </w:r>
      <w:bookmarkEnd w:id="94"/>
      <w:bookmarkEnd w:id="95"/>
    </w:p>
    <w:p w14:paraId="287DFE0D" w14:textId="77777777" w:rsidR="000F6815" w:rsidRPr="00286D3B" w:rsidRDefault="000F6815" w:rsidP="000F6815">
      <w:pPr>
        <w:pStyle w:val="Insertfigure"/>
        <w:rPr>
          <w:rStyle w:val="FigurecaptionChar"/>
          <w:rFonts w:ascii="Times New Roman" w:hAnsi="Times New Roman"/>
          <w:b w:val="0"/>
          <w:bCs w:val="0"/>
          <w:sz w:val="24"/>
          <w:szCs w:val="24"/>
        </w:rPr>
      </w:pPr>
      <w:r w:rsidRPr="00286D3B">
        <w:rPr>
          <w:noProof/>
          <w:szCs w:val="24"/>
        </w:rPr>
        <w:lastRenderedPageBreak/>
        <w:drawing>
          <wp:inline distT="0" distB="0" distL="0" distR="0" wp14:anchorId="54980AC7" wp14:editId="67E25AB8">
            <wp:extent cx="5943600" cy="3455035"/>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3455035"/>
                    </a:xfrm>
                    <a:prstGeom prst="rect">
                      <a:avLst/>
                    </a:prstGeom>
                  </pic:spPr>
                </pic:pic>
              </a:graphicData>
            </a:graphic>
          </wp:inline>
        </w:drawing>
      </w:r>
    </w:p>
    <w:p w14:paraId="0488077A" w14:textId="77777777" w:rsidR="000F6815" w:rsidRPr="00533424" w:rsidRDefault="000F6815" w:rsidP="000F6815">
      <w:pPr>
        <w:pStyle w:val="Figurecaption"/>
      </w:pPr>
      <w:bookmarkStart w:id="96" w:name="_Toc92366078"/>
      <w:bookmarkStart w:id="97" w:name="_Toc103854364"/>
      <w:r w:rsidRPr="00533424">
        <w:rPr>
          <w:rStyle w:val="FigurecaptionChar"/>
          <w:b/>
          <w:bCs/>
        </w:rPr>
        <w:t>Figure 2</w:t>
      </w:r>
      <w:r>
        <w:rPr>
          <w:rStyle w:val="FigurecaptionChar"/>
          <w:b/>
          <w:bCs/>
        </w:rPr>
        <w:t>1</w:t>
      </w:r>
      <w:r w:rsidRPr="00533424">
        <w:rPr>
          <w:rStyle w:val="FigurecaptionChar"/>
          <w:b/>
          <w:bCs/>
        </w:rPr>
        <w:t>. Inputs tab: Fate and transport inputs.</w:t>
      </w:r>
      <w:bookmarkEnd w:id="96"/>
      <w:bookmarkEnd w:id="97"/>
    </w:p>
    <w:p w14:paraId="7193831F" w14:textId="77777777" w:rsidR="000F6815" w:rsidRPr="00286D3B" w:rsidRDefault="000F6815" w:rsidP="000F6815">
      <w:pPr>
        <w:pStyle w:val="Insertfigure"/>
        <w:rPr>
          <w:szCs w:val="24"/>
        </w:rPr>
      </w:pPr>
      <w:r w:rsidRPr="00D6746A">
        <w:rPr>
          <w:noProof/>
        </w:rPr>
        <w:t xml:space="preserve"> </w:t>
      </w:r>
      <w:r>
        <w:rPr>
          <w:noProof/>
        </w:rPr>
        <w:drawing>
          <wp:inline distT="0" distB="0" distL="0" distR="0" wp14:anchorId="71BF2A4B" wp14:editId="4DC67D33">
            <wp:extent cx="5943600" cy="236791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3600" cy="2367915"/>
                    </a:xfrm>
                    <a:prstGeom prst="rect">
                      <a:avLst/>
                    </a:prstGeom>
                  </pic:spPr>
                </pic:pic>
              </a:graphicData>
            </a:graphic>
          </wp:inline>
        </w:drawing>
      </w:r>
    </w:p>
    <w:p w14:paraId="431A381E" w14:textId="77777777" w:rsidR="000F6815" w:rsidRPr="00533424" w:rsidRDefault="000F6815" w:rsidP="000F6815">
      <w:pPr>
        <w:pStyle w:val="Figurecaption"/>
        <w:rPr>
          <w:rStyle w:val="FigurecaptionChar"/>
          <w:b/>
          <w:bCs/>
        </w:rPr>
      </w:pPr>
      <w:bookmarkStart w:id="98" w:name="_Toc92366079"/>
      <w:bookmarkStart w:id="99" w:name="_Toc103854365"/>
      <w:r w:rsidRPr="00533424">
        <w:rPr>
          <w:rStyle w:val="FigurecaptionChar"/>
          <w:b/>
          <w:bCs/>
        </w:rPr>
        <w:t>Figure 2</w:t>
      </w:r>
      <w:r>
        <w:rPr>
          <w:rStyle w:val="FigurecaptionChar"/>
          <w:b/>
          <w:bCs/>
        </w:rPr>
        <w:t>2</w:t>
      </w:r>
      <w:r w:rsidRPr="00533424">
        <w:rPr>
          <w:rStyle w:val="FigurecaptionChar"/>
          <w:b/>
          <w:bCs/>
        </w:rPr>
        <w:t>. Inputs tab: Chemical inputs.</w:t>
      </w:r>
      <w:bookmarkEnd w:id="98"/>
      <w:bookmarkEnd w:id="99"/>
    </w:p>
    <w:p w14:paraId="5FE7BA7A" w14:textId="77777777" w:rsidR="000F6815" w:rsidRPr="00286D3B" w:rsidRDefault="000F6815" w:rsidP="000F6815">
      <w:pPr>
        <w:pStyle w:val="Insertfigure"/>
        <w:rPr>
          <w:szCs w:val="24"/>
        </w:rPr>
      </w:pPr>
      <w:r w:rsidRPr="00286D3B">
        <w:rPr>
          <w:noProof/>
          <w:szCs w:val="24"/>
        </w:rPr>
        <w:lastRenderedPageBreak/>
        <w:drawing>
          <wp:inline distT="0" distB="0" distL="0" distR="0" wp14:anchorId="52BDF467" wp14:editId="5C55FC51">
            <wp:extent cx="5943600" cy="1899138"/>
            <wp:effectExtent l="0" t="0" r="0" b="6350"/>
            <wp:docPr id="27" name="Picture 27" descr="Screen capture of the Human Exposure input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Screen capture of the Human Exposure inputs tab"/>
                    <pic:cNvPicPr/>
                  </pic:nvPicPr>
                  <pic:blipFill rotWithShape="1">
                    <a:blip r:embed="rId45"/>
                    <a:srcRect b="40316"/>
                    <a:stretch/>
                  </pic:blipFill>
                  <pic:spPr bwMode="auto">
                    <a:xfrm>
                      <a:off x="0" y="0"/>
                      <a:ext cx="5943600" cy="1899138"/>
                    </a:xfrm>
                    <a:prstGeom prst="rect">
                      <a:avLst/>
                    </a:prstGeom>
                    <a:ln>
                      <a:noFill/>
                    </a:ln>
                    <a:extLst>
                      <a:ext uri="{53640926-AAD7-44D8-BBD7-CCE9431645EC}">
                        <a14:shadowObscured xmlns:a14="http://schemas.microsoft.com/office/drawing/2010/main"/>
                      </a:ext>
                    </a:extLst>
                  </pic:spPr>
                </pic:pic>
              </a:graphicData>
            </a:graphic>
          </wp:inline>
        </w:drawing>
      </w:r>
    </w:p>
    <w:p w14:paraId="57E9C385" w14:textId="77777777" w:rsidR="000F6815" w:rsidRPr="00F000FD" w:rsidRDefault="000F6815" w:rsidP="000F6815">
      <w:pPr>
        <w:pStyle w:val="Figurecaption"/>
        <w:rPr>
          <w:rStyle w:val="FigurecaptionChar"/>
          <w:b/>
          <w:bCs/>
        </w:rPr>
      </w:pPr>
      <w:bookmarkStart w:id="100" w:name="_Toc92366080"/>
      <w:bookmarkStart w:id="101" w:name="_Toc103854366"/>
      <w:r w:rsidRPr="00F000FD">
        <w:rPr>
          <w:rStyle w:val="FigurecaptionChar"/>
          <w:b/>
          <w:bCs/>
        </w:rPr>
        <w:t>Figure 2</w:t>
      </w:r>
      <w:r>
        <w:rPr>
          <w:rStyle w:val="FigurecaptionChar"/>
          <w:b/>
          <w:bCs/>
        </w:rPr>
        <w:t>3</w:t>
      </w:r>
      <w:r w:rsidRPr="00F000FD">
        <w:rPr>
          <w:rStyle w:val="FigurecaptionChar"/>
          <w:b/>
          <w:bCs/>
        </w:rPr>
        <w:t>. Inputs tab: Human exposure factors.</w:t>
      </w:r>
      <w:bookmarkEnd w:id="100"/>
      <w:bookmarkEnd w:id="101"/>
    </w:p>
    <w:p w14:paraId="3DFEA00E" w14:textId="77777777" w:rsidR="000F6815" w:rsidRPr="00286D3B" w:rsidRDefault="000F6815" w:rsidP="000F6815">
      <w:pPr>
        <w:pStyle w:val="Insertfigure"/>
        <w:rPr>
          <w:szCs w:val="24"/>
        </w:rPr>
      </w:pPr>
      <w:r w:rsidRPr="00286D3B">
        <w:rPr>
          <w:noProof/>
          <w:szCs w:val="24"/>
        </w:rPr>
        <w:drawing>
          <wp:inline distT="0" distB="0" distL="0" distR="0" wp14:anchorId="69BD94A7" wp14:editId="28FCB3B8">
            <wp:extent cx="5943600" cy="1529862"/>
            <wp:effectExtent l="0" t="0" r="0" b="0"/>
            <wp:docPr id="28" name="Picture 28" descr="Screen capture of the Ecological Exposure input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Screen capture of the Ecological Exposure inputs tab"/>
                    <pic:cNvPicPr/>
                  </pic:nvPicPr>
                  <pic:blipFill rotWithShape="1">
                    <a:blip r:embed="rId46"/>
                    <a:srcRect b="15938"/>
                    <a:stretch/>
                  </pic:blipFill>
                  <pic:spPr bwMode="auto">
                    <a:xfrm>
                      <a:off x="0" y="0"/>
                      <a:ext cx="5943600" cy="1529862"/>
                    </a:xfrm>
                    <a:prstGeom prst="rect">
                      <a:avLst/>
                    </a:prstGeom>
                    <a:ln>
                      <a:noFill/>
                    </a:ln>
                    <a:extLst>
                      <a:ext uri="{53640926-AAD7-44D8-BBD7-CCE9431645EC}">
                        <a14:shadowObscured xmlns:a14="http://schemas.microsoft.com/office/drawing/2010/main"/>
                      </a:ext>
                    </a:extLst>
                  </pic:spPr>
                </pic:pic>
              </a:graphicData>
            </a:graphic>
          </wp:inline>
        </w:drawing>
      </w:r>
    </w:p>
    <w:p w14:paraId="6C4F11A6" w14:textId="77777777" w:rsidR="000F6815" w:rsidRPr="00F000FD" w:rsidRDefault="000F6815" w:rsidP="000F6815">
      <w:pPr>
        <w:pStyle w:val="Figurecaption"/>
        <w:rPr>
          <w:rStyle w:val="FigurecaptionChar"/>
          <w:b/>
          <w:bCs/>
        </w:rPr>
      </w:pPr>
      <w:bookmarkStart w:id="102" w:name="_Toc92366081"/>
      <w:bookmarkStart w:id="103" w:name="_Toc103854367"/>
      <w:r w:rsidRPr="00F000FD">
        <w:rPr>
          <w:rStyle w:val="FigurecaptionChar"/>
          <w:b/>
          <w:bCs/>
        </w:rPr>
        <w:t>Figure 2</w:t>
      </w:r>
      <w:r>
        <w:rPr>
          <w:rStyle w:val="FigurecaptionChar"/>
          <w:b/>
          <w:bCs/>
        </w:rPr>
        <w:t>4</w:t>
      </w:r>
      <w:r w:rsidRPr="00F000FD">
        <w:rPr>
          <w:rStyle w:val="FigurecaptionChar"/>
          <w:b/>
          <w:bCs/>
        </w:rPr>
        <w:t>. Inputs tab: Ecological exposure factors.</w:t>
      </w:r>
      <w:bookmarkEnd w:id="102"/>
      <w:bookmarkEnd w:id="103"/>
    </w:p>
    <w:p w14:paraId="306501F8" w14:textId="77777777" w:rsidR="000F6815" w:rsidRPr="00286D3B" w:rsidRDefault="000F6815" w:rsidP="000F6815">
      <w:pPr>
        <w:pStyle w:val="Insertfigure"/>
        <w:rPr>
          <w:szCs w:val="24"/>
        </w:rPr>
      </w:pPr>
      <w:bookmarkStart w:id="104" w:name="_Toc453760006"/>
      <w:r w:rsidRPr="00286D3B">
        <w:rPr>
          <w:noProof/>
          <w:szCs w:val="24"/>
        </w:rPr>
        <w:drawing>
          <wp:anchor distT="0" distB="0" distL="114300" distR="114300" simplePos="0" relativeHeight="251658245" behindDoc="0" locked="0" layoutInCell="1" allowOverlap="1" wp14:anchorId="018766A6" wp14:editId="4279A8C0">
            <wp:simplePos x="0" y="0"/>
            <wp:positionH relativeFrom="column">
              <wp:posOffset>170597</wp:posOffset>
            </wp:positionH>
            <wp:positionV relativeFrom="paragraph">
              <wp:posOffset>360689</wp:posOffset>
            </wp:positionV>
            <wp:extent cx="627797" cy="735885"/>
            <wp:effectExtent l="0" t="0" r="1270" b="7620"/>
            <wp:wrapNone/>
            <wp:docPr id="288" name="Picture 28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Picture 288">
                      <a:extLst>
                        <a:ext uri="{C183D7F6-B498-43B3-948B-1728B52AA6E4}">
                          <adec:decorative xmlns:adec="http://schemas.microsoft.com/office/drawing/2017/decorative" val="1"/>
                        </a:ext>
                      </a:extLst>
                    </pic:cNvPr>
                    <pic:cNvPicPr/>
                  </pic:nvPicPr>
                  <pic:blipFill rotWithShape="1">
                    <a:blip r:embed="rId47" cstate="print">
                      <a:extLst>
                        <a:ext uri="{28A0092B-C50C-407E-A947-70E740481C1C}">
                          <a14:useLocalDpi xmlns:a14="http://schemas.microsoft.com/office/drawing/2010/main" val="0"/>
                        </a:ext>
                      </a:extLst>
                    </a:blip>
                    <a:srcRect b="14138"/>
                    <a:stretch/>
                  </pic:blipFill>
                  <pic:spPr bwMode="auto">
                    <a:xfrm>
                      <a:off x="0" y="0"/>
                      <a:ext cx="636556" cy="74615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End w:id="104"/>
      <w:r w:rsidRPr="00286D3B">
        <w:rPr>
          <w:noProof/>
          <w:szCs w:val="24"/>
        </w:rPr>
        <w:drawing>
          <wp:inline distT="0" distB="0" distL="0" distR="0" wp14:anchorId="504B9B4D" wp14:editId="7F91BE32">
            <wp:extent cx="5941101" cy="1626376"/>
            <wp:effectExtent l="0" t="0" r="254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t="1" b="51962"/>
                    <a:stretch/>
                  </pic:blipFill>
                  <pic:spPr bwMode="auto">
                    <a:xfrm>
                      <a:off x="0" y="0"/>
                      <a:ext cx="5943600" cy="1627060"/>
                    </a:xfrm>
                    <a:prstGeom prst="rect">
                      <a:avLst/>
                    </a:prstGeom>
                    <a:ln>
                      <a:noFill/>
                    </a:ln>
                    <a:extLst>
                      <a:ext uri="{53640926-AAD7-44D8-BBD7-CCE9431645EC}">
                        <a14:shadowObscured xmlns:a14="http://schemas.microsoft.com/office/drawing/2010/main"/>
                      </a:ext>
                    </a:extLst>
                  </pic:spPr>
                </pic:pic>
              </a:graphicData>
            </a:graphic>
          </wp:inline>
        </w:drawing>
      </w:r>
    </w:p>
    <w:p w14:paraId="2E0959E4" w14:textId="77777777" w:rsidR="000F6815" w:rsidRPr="00F000FD" w:rsidRDefault="000F6815" w:rsidP="000F6815">
      <w:pPr>
        <w:pStyle w:val="Figurecaption"/>
        <w:rPr>
          <w:rStyle w:val="FigurecaptionChar"/>
          <w:b/>
          <w:bCs/>
        </w:rPr>
      </w:pPr>
      <w:bookmarkStart w:id="105" w:name="_Toc92366082"/>
      <w:bookmarkStart w:id="106" w:name="_Toc103854368"/>
      <w:r w:rsidRPr="00F000FD">
        <w:rPr>
          <w:rStyle w:val="FigurecaptionChar"/>
          <w:b/>
          <w:bCs/>
        </w:rPr>
        <w:t>Figure 2</w:t>
      </w:r>
      <w:r>
        <w:rPr>
          <w:rStyle w:val="FigurecaptionChar"/>
          <w:b/>
          <w:bCs/>
        </w:rPr>
        <w:t>5</w:t>
      </w:r>
      <w:r w:rsidRPr="00F000FD">
        <w:rPr>
          <w:rStyle w:val="FigurecaptionChar"/>
          <w:b/>
          <w:bCs/>
        </w:rPr>
        <w:t>. Inputs tab: Ecological bioaccumulation factors.</w:t>
      </w:r>
      <w:bookmarkEnd w:id="105"/>
      <w:bookmarkEnd w:id="106"/>
    </w:p>
    <w:p w14:paraId="37CA4EA7" w14:textId="70016CFE" w:rsidR="000F6815" w:rsidRPr="00286D3B" w:rsidRDefault="00076B85" w:rsidP="000F6815">
      <w:pPr>
        <w:pStyle w:val="Insertfigure"/>
        <w:rPr>
          <w:szCs w:val="24"/>
        </w:rPr>
      </w:pPr>
      <w:r>
        <w:rPr>
          <w:noProof/>
          <w:szCs w:val="24"/>
        </w:rPr>
        <w:drawing>
          <wp:inline distT="0" distB="0" distL="0" distR="0" wp14:anchorId="01BF3327" wp14:editId="0A8AF274">
            <wp:extent cx="5943600" cy="1746250"/>
            <wp:effectExtent l="0" t="0" r="0" b="6350"/>
            <wp:docPr id="31" name="Picture 3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Table&#10;&#10;Description automatically generated"/>
                    <pic:cNvPicPr/>
                  </pic:nvPicPr>
                  <pic:blipFill rotWithShape="1">
                    <a:blip r:embed="rId49">
                      <a:extLst>
                        <a:ext uri="{28A0092B-C50C-407E-A947-70E740481C1C}">
                          <a14:useLocalDpi xmlns:a14="http://schemas.microsoft.com/office/drawing/2010/main" val="0"/>
                        </a:ext>
                      </a:extLst>
                    </a:blip>
                    <a:srcRect b="19919"/>
                    <a:stretch/>
                  </pic:blipFill>
                  <pic:spPr bwMode="auto">
                    <a:xfrm>
                      <a:off x="0" y="0"/>
                      <a:ext cx="5943600" cy="1746250"/>
                    </a:xfrm>
                    <a:prstGeom prst="rect">
                      <a:avLst/>
                    </a:prstGeom>
                    <a:ln>
                      <a:noFill/>
                    </a:ln>
                    <a:extLst>
                      <a:ext uri="{53640926-AAD7-44D8-BBD7-CCE9431645EC}">
                        <a14:shadowObscured xmlns:a14="http://schemas.microsoft.com/office/drawing/2010/main"/>
                      </a:ext>
                    </a:extLst>
                  </pic:spPr>
                </pic:pic>
              </a:graphicData>
            </a:graphic>
          </wp:inline>
        </w:drawing>
      </w:r>
    </w:p>
    <w:p w14:paraId="673839CD" w14:textId="77777777" w:rsidR="000F6815" w:rsidRPr="00F000FD" w:rsidRDefault="000F6815" w:rsidP="000F6815">
      <w:pPr>
        <w:pStyle w:val="Figurecaption"/>
        <w:rPr>
          <w:rStyle w:val="FigurecaptionChar"/>
          <w:b/>
          <w:bCs/>
        </w:rPr>
      </w:pPr>
      <w:bookmarkStart w:id="107" w:name="_Toc92366083"/>
      <w:bookmarkStart w:id="108" w:name="_Toc103854369"/>
      <w:r w:rsidRPr="00F000FD">
        <w:rPr>
          <w:rStyle w:val="FigurecaptionChar"/>
          <w:b/>
          <w:bCs/>
        </w:rPr>
        <w:t>Figure 2</w:t>
      </w:r>
      <w:r>
        <w:rPr>
          <w:rStyle w:val="FigurecaptionChar"/>
          <w:b/>
          <w:bCs/>
        </w:rPr>
        <w:t>6</w:t>
      </w:r>
      <w:r w:rsidRPr="00F000FD">
        <w:rPr>
          <w:rStyle w:val="FigurecaptionChar"/>
          <w:b/>
          <w:bCs/>
        </w:rPr>
        <w:t>. Inputs tab: Ecological toxicity values.</w:t>
      </w:r>
      <w:bookmarkEnd w:id="107"/>
      <w:bookmarkEnd w:id="108"/>
    </w:p>
    <w:p w14:paraId="730E6535" w14:textId="77777777" w:rsidR="000F6815" w:rsidRPr="00286D3B" w:rsidRDefault="000F6815" w:rsidP="000F6815">
      <w:pPr>
        <w:pStyle w:val="BodyText"/>
      </w:pPr>
      <w:r w:rsidRPr="00286D3B">
        <w:lastRenderedPageBreak/>
        <w:t xml:space="preserve">Inputs cannot be edited on these tabs. However, you can sort the table on any column by clicking on the column heading. You can also export the inputs on all seven sub-tabs by clicking on the </w:t>
      </w:r>
      <w:r w:rsidRPr="00286D3B">
        <w:rPr>
          <w:rStyle w:val="Button"/>
          <w:sz w:val="24"/>
        </w:rPr>
        <w:t xml:space="preserve">Export to Excel </w:t>
      </w:r>
      <w:r w:rsidRPr="00286D3B">
        <w:t xml:space="preserve">button at the top of the </w:t>
      </w:r>
      <w:r w:rsidRPr="00286D3B">
        <w:rPr>
          <w:rStyle w:val="Button"/>
          <w:sz w:val="24"/>
        </w:rPr>
        <w:t>Inputs</w:t>
      </w:r>
      <w:r w:rsidRPr="00286D3B">
        <w:t xml:space="preserve"> tab. </w:t>
      </w:r>
      <w:r w:rsidRPr="00286D3B">
        <w:rPr>
          <w:b/>
          <w:bCs/>
        </w:rPr>
        <w:t>Section 7</w:t>
      </w:r>
      <w:r w:rsidRPr="00286D3B">
        <w:t xml:space="preserve"> includes a section with all references used in the Tool and the full citation for each.</w:t>
      </w:r>
    </w:p>
    <w:p w14:paraId="0A4D8623" w14:textId="77777777" w:rsidR="000F6815" w:rsidRPr="00286D3B" w:rsidRDefault="000F6815" w:rsidP="000F6815">
      <w:pPr>
        <w:pStyle w:val="BodyText"/>
      </w:pPr>
      <w:r w:rsidRPr="00286D3B">
        <w:t xml:space="preserve">When you are done configuring an analysis, click on the red </w:t>
      </w:r>
      <w:r w:rsidRPr="00286D3B">
        <w:rPr>
          <w:rStyle w:val="Button"/>
          <w:sz w:val="24"/>
        </w:rPr>
        <w:t>Close Form</w:t>
      </w:r>
      <w:r w:rsidRPr="00286D3B">
        <w:t xml:space="preserve"> button in the upper right corner, or on the × at the top right corner of the </w:t>
      </w:r>
      <w:r w:rsidRPr="00286D3B">
        <w:rPr>
          <w:rStyle w:val="Button"/>
          <w:sz w:val="24"/>
        </w:rPr>
        <w:t>Configure Model</w:t>
      </w:r>
      <w:r w:rsidRPr="00286D3B">
        <w:t xml:space="preserve"> window. This will return you to the </w:t>
      </w:r>
      <w:r w:rsidRPr="00286D3B">
        <w:rPr>
          <w:rStyle w:val="Button"/>
          <w:sz w:val="24"/>
        </w:rPr>
        <w:t>Main Menu</w:t>
      </w:r>
      <w:r w:rsidRPr="00286D3B">
        <w:t xml:space="preserve"> shown in Figure </w:t>
      </w:r>
      <w:r>
        <w:t>6</w:t>
      </w:r>
      <w:r w:rsidRPr="00286D3B">
        <w:t>.</w:t>
      </w:r>
    </w:p>
    <w:p w14:paraId="5B1FA522" w14:textId="77777777" w:rsidR="000F6815" w:rsidRPr="00286D3B" w:rsidRDefault="000F6815" w:rsidP="000F6815">
      <w:pPr>
        <w:pStyle w:val="BodyText"/>
      </w:pPr>
      <w:r w:rsidRPr="00286D3B">
        <w:t xml:space="preserve">The derivation of input data </w:t>
      </w:r>
      <w:proofErr w:type="gramStart"/>
      <w:r w:rsidRPr="00286D3B">
        <w:t>are</w:t>
      </w:r>
      <w:proofErr w:type="gramEnd"/>
      <w:r w:rsidRPr="00286D3B">
        <w:t xml:space="preserve"> documented in the following appendices:</w:t>
      </w:r>
    </w:p>
    <w:p w14:paraId="680F00EF" w14:textId="77777777" w:rsidR="000F6815" w:rsidRPr="00286D3B" w:rsidRDefault="000F6815" w:rsidP="00347221">
      <w:pPr>
        <w:pStyle w:val="ListBullet"/>
      </w:pPr>
      <w:r w:rsidRPr="00286D3B">
        <w:rPr>
          <w:b/>
          <w:bCs/>
        </w:rPr>
        <w:t>Appendix B:</w:t>
      </w:r>
      <w:r w:rsidRPr="00286D3B">
        <w:t xml:space="preserve"> Non-chemical-specific parameters</w:t>
      </w:r>
    </w:p>
    <w:p w14:paraId="22A3CD22" w14:textId="77777777" w:rsidR="000F6815" w:rsidRPr="00286D3B" w:rsidRDefault="000F6815" w:rsidP="00347221">
      <w:pPr>
        <w:pStyle w:val="ListBullet"/>
      </w:pPr>
      <w:r w:rsidRPr="00286D3B">
        <w:rPr>
          <w:b/>
          <w:bCs/>
        </w:rPr>
        <w:t>Appendix C:</w:t>
      </w:r>
      <w:r w:rsidRPr="00286D3B">
        <w:t xml:space="preserve"> Chemical-specific parameters</w:t>
      </w:r>
    </w:p>
    <w:p w14:paraId="010151F2" w14:textId="77777777" w:rsidR="000F6815" w:rsidRPr="00286D3B" w:rsidRDefault="000F6815" w:rsidP="00347221">
      <w:pPr>
        <w:pStyle w:val="ListBulletlast"/>
      </w:pPr>
      <w:r w:rsidRPr="00286D3B">
        <w:rPr>
          <w:b/>
          <w:bCs/>
        </w:rPr>
        <w:t>Appendix D:</w:t>
      </w:r>
      <w:r w:rsidRPr="00286D3B">
        <w:t xml:space="preserve"> Human and ecological toxicity values.</w:t>
      </w:r>
    </w:p>
    <w:p w14:paraId="2AB1540F" w14:textId="77777777" w:rsidR="000F6815" w:rsidRPr="00286D3B" w:rsidRDefault="000F6815" w:rsidP="000F6815">
      <w:pPr>
        <w:pStyle w:val="BodyText"/>
      </w:pPr>
      <w:r w:rsidRPr="00286D3B">
        <w:t>Values are provided in Appendix B (non-chemical specific parameters) for convenience, as these values may not all be readily viewable in the Tool. However, all chemical-specific parameters, including toxicity values, are readily viewable in the Tool and for brevity, data are not provided here.</w:t>
      </w:r>
    </w:p>
    <w:p w14:paraId="6FF27E31" w14:textId="77777777" w:rsidR="000F6815" w:rsidRPr="00286D3B" w:rsidRDefault="000F6815" w:rsidP="000F6815">
      <w:pPr>
        <w:rPr>
          <w:rFonts w:ascii="Times New Roman" w:hAnsi="Times New Roman" w:cs="Times New Roman"/>
          <w:b/>
          <w:bCs/>
          <w:color w:val="44546A" w:themeColor="text2"/>
          <w:sz w:val="24"/>
          <w:szCs w:val="24"/>
          <w:lang w:val="en-CA"/>
        </w:rPr>
      </w:pPr>
      <w:r w:rsidRPr="00286D3B">
        <w:rPr>
          <w:rFonts w:ascii="Times New Roman" w:hAnsi="Times New Roman" w:cs="Times New Roman"/>
          <w:sz w:val="24"/>
          <w:szCs w:val="24"/>
        </w:rPr>
        <w:br w:type="page"/>
      </w:r>
    </w:p>
    <w:p w14:paraId="44E012BA" w14:textId="77777777" w:rsidR="000F6815" w:rsidRPr="00450759" w:rsidRDefault="000F6815" w:rsidP="00911CBD">
      <w:pPr>
        <w:pStyle w:val="Heading1"/>
      </w:pPr>
      <w:bookmarkStart w:id="109" w:name="_Toc99449964"/>
      <w:bookmarkStart w:id="110" w:name="_Hlk92364706"/>
      <w:bookmarkStart w:id="111" w:name="_Toc128041940"/>
      <w:r w:rsidRPr="00450759">
        <w:lastRenderedPageBreak/>
        <w:t>4.</w:t>
      </w:r>
      <w:r w:rsidRPr="00450759">
        <w:tab/>
        <w:t>Run a Simulation</w:t>
      </w:r>
      <w:bookmarkEnd w:id="109"/>
      <w:bookmarkEnd w:id="111"/>
    </w:p>
    <w:p w14:paraId="633B419C" w14:textId="3D7B04F6" w:rsidR="000F6815" w:rsidRPr="00286D3B" w:rsidRDefault="000F6815" w:rsidP="000F6815">
      <w:pPr>
        <w:pStyle w:val="BodyText"/>
      </w:pPr>
      <w:r w:rsidRPr="00286D3B">
        <w:t xml:space="preserve">Run the simulation from the </w:t>
      </w:r>
      <w:r w:rsidRPr="00286D3B">
        <w:rPr>
          <w:rStyle w:val="Button"/>
          <w:sz w:val="24"/>
        </w:rPr>
        <w:t>Main Menu</w:t>
      </w:r>
      <w:r w:rsidRPr="00286D3B">
        <w:t xml:space="preserve"> (shown in Figure 5) by clicking the </w:t>
      </w:r>
      <w:r w:rsidRPr="00286D3B">
        <w:rPr>
          <w:rStyle w:val="Button"/>
          <w:sz w:val="24"/>
        </w:rPr>
        <w:t>Run</w:t>
      </w:r>
      <w:r w:rsidRPr="00286D3B">
        <w:t xml:space="preserve"> button. </w:t>
      </w:r>
      <w:r w:rsidRPr="00286D3B">
        <w:rPr>
          <w:b/>
          <w:bCs/>
        </w:rPr>
        <w:t>This immediately deletes all results from the previous run</w:t>
      </w:r>
      <w:r w:rsidRPr="00286D3B">
        <w:t xml:space="preserve">. The model executable will then ask you to confirm that you are ready to run the model. Click on the </w:t>
      </w:r>
      <w:r w:rsidRPr="00286D3B">
        <w:rPr>
          <w:rStyle w:val="Button"/>
          <w:sz w:val="24"/>
        </w:rPr>
        <w:t>Yes</w:t>
      </w:r>
      <w:r w:rsidRPr="00286D3B">
        <w:t xml:space="preserve"> button. the Biosolids Tool will now calculate high-end point estimates of hazard and risk for each of the scenarios, chemicals, pathways, and receptors selected during configuration.</w:t>
      </w:r>
    </w:p>
    <w:bookmarkEnd w:id="110"/>
    <w:p w14:paraId="7350E7EB" w14:textId="337A3672" w:rsidR="000F6815" w:rsidRPr="00286D3B" w:rsidRDefault="00C648BA" w:rsidP="000F6815">
      <w:pPr>
        <w:pStyle w:val="BodyText"/>
      </w:pPr>
      <w:r>
        <w:rPr>
          <w:noProof/>
        </w:rPr>
        <w:drawing>
          <wp:anchor distT="0" distB="0" distL="114300" distR="114300" simplePos="0" relativeHeight="251658249" behindDoc="0" locked="0" layoutInCell="1" allowOverlap="1" wp14:anchorId="5FF2CA75" wp14:editId="691DF815">
            <wp:simplePos x="0" y="0"/>
            <wp:positionH relativeFrom="column">
              <wp:posOffset>2178050</wp:posOffset>
            </wp:positionH>
            <wp:positionV relativeFrom="paragraph">
              <wp:posOffset>13970</wp:posOffset>
            </wp:positionV>
            <wp:extent cx="3642288" cy="1371600"/>
            <wp:effectExtent l="0" t="0" r="0" b="0"/>
            <wp:wrapSquare wrapText="bothSides"/>
            <wp:docPr id="37" name="Picture 3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Graphical user interface, text, application&#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3642288" cy="1371600"/>
                    </a:xfrm>
                    <a:prstGeom prst="rect">
                      <a:avLst/>
                    </a:prstGeom>
                  </pic:spPr>
                </pic:pic>
              </a:graphicData>
            </a:graphic>
            <wp14:sizeRelH relativeFrom="page">
              <wp14:pctWidth>0</wp14:pctWidth>
            </wp14:sizeRelH>
            <wp14:sizeRelV relativeFrom="page">
              <wp14:pctHeight>0</wp14:pctHeight>
            </wp14:sizeRelV>
          </wp:anchor>
        </w:drawing>
      </w:r>
      <w:r w:rsidR="000F6815" w:rsidRPr="00286D3B">
        <w:t xml:space="preserve">A status window (shown at right) will be displayed that will indicate the unit type, chemical, and scenario currently being run. LAU runs before surface disposal; chemicals run in CAS number order; LAU scenarios run in the order reclamation, pasture, crop; and surface disposal scenarios run in the order composite liner, clay liner, no liner. </w:t>
      </w:r>
    </w:p>
    <w:p w14:paraId="01DE11F2" w14:textId="77777777" w:rsidR="000F6815" w:rsidRPr="00286D3B" w:rsidRDefault="000F6815" w:rsidP="000F6815">
      <w:pPr>
        <w:pStyle w:val="BodyText"/>
      </w:pPr>
      <w:r w:rsidRPr="00286D3B">
        <w:t>The Tool takes about a minute to run one chemical for one LAU scenario and about 5–10 seconds for one chemical and one surface disposal unit liner scenario. Thus, the overall run time can vary significantly, depending on the number of units/scenarios and chemicals you select, as well as the speed of your computer. The number of human exposure pathways or ecological receptors does not have an appreciable impact on run time.</w:t>
      </w:r>
    </w:p>
    <w:p w14:paraId="3F630FDC" w14:textId="77777777" w:rsidR="000F6815" w:rsidRPr="00286D3B" w:rsidRDefault="000F6815" w:rsidP="000F6815">
      <w:pPr>
        <w:pStyle w:val="BodyText"/>
      </w:pPr>
      <w:r w:rsidRPr="00286D3B">
        <w:t>When the run is done, another window that says “Done!” will appear. Click on the</w:t>
      </w:r>
      <w:r w:rsidRPr="00286D3B">
        <w:rPr>
          <w:i/>
          <w:iCs/>
        </w:rPr>
        <w:t xml:space="preserve"> </w:t>
      </w:r>
      <w:r w:rsidRPr="00286D3B">
        <w:rPr>
          <w:rStyle w:val="Button"/>
          <w:sz w:val="24"/>
        </w:rPr>
        <w:t>Ok</w:t>
      </w:r>
      <w:r w:rsidRPr="00286D3B">
        <w:t xml:space="preserve"> button to return to the </w:t>
      </w:r>
      <w:r w:rsidRPr="00286D3B">
        <w:rPr>
          <w:rStyle w:val="Button"/>
          <w:sz w:val="24"/>
        </w:rPr>
        <w:t>Main Menu</w:t>
      </w:r>
      <w:r w:rsidRPr="00286D3B">
        <w:t>.</w:t>
      </w:r>
    </w:p>
    <w:p w14:paraId="56644570" w14:textId="77777777" w:rsidR="000F6815" w:rsidRPr="00286D3B" w:rsidRDefault="000F6815" w:rsidP="000F6815">
      <w:pPr>
        <w:pStyle w:val="BodyText"/>
      </w:pPr>
      <w:r w:rsidRPr="00286D3B">
        <w:rPr>
          <w:b/>
          <w:bCs/>
        </w:rPr>
        <w:t>Appendix A</w:t>
      </w:r>
      <w:r w:rsidRPr="00286D3B">
        <w:t xml:space="preserve"> provides technical background information on the calculations performed by the </w:t>
      </w:r>
      <w:r>
        <w:t>Biosolids Tool</w:t>
      </w:r>
      <w:r w:rsidRPr="00286D3B">
        <w:t>.</w:t>
      </w:r>
    </w:p>
    <w:p w14:paraId="5FC8B459" w14:textId="77777777" w:rsidR="000F6815" w:rsidRDefault="000F6815" w:rsidP="000F6815">
      <w:pPr>
        <w:rPr>
          <w:rFonts w:ascii="Arial" w:eastAsia="Times New Roman" w:hAnsi="Arial" w:cs="Times New Roman"/>
          <w:b/>
          <w:bCs/>
          <w:color w:val="44546A" w:themeColor="text2"/>
          <w:sz w:val="32"/>
          <w:szCs w:val="32"/>
          <w:lang w:val="en-CA"/>
        </w:rPr>
      </w:pPr>
      <w:bookmarkStart w:id="112" w:name="_Toc99449965"/>
      <w:r>
        <w:br w:type="page"/>
      </w:r>
    </w:p>
    <w:p w14:paraId="31BBB24B" w14:textId="77777777" w:rsidR="000F6815" w:rsidRPr="00450759" w:rsidRDefault="000F6815" w:rsidP="00911CBD">
      <w:pPr>
        <w:pStyle w:val="Heading1"/>
      </w:pPr>
      <w:bookmarkStart w:id="113" w:name="_Toc128041941"/>
      <w:r w:rsidRPr="00450759">
        <w:lastRenderedPageBreak/>
        <w:t>5.</w:t>
      </w:r>
      <w:r w:rsidRPr="00450759">
        <w:tab/>
        <w:t>View, Export, and Save Results</w:t>
      </w:r>
      <w:bookmarkEnd w:id="112"/>
      <w:bookmarkEnd w:id="113"/>
    </w:p>
    <w:p w14:paraId="08B3B9AC" w14:textId="77777777" w:rsidR="000F6815" w:rsidRPr="00286D3B" w:rsidRDefault="000F6815" w:rsidP="000F6815">
      <w:pPr>
        <w:pStyle w:val="BodyText"/>
      </w:pPr>
      <w:r w:rsidRPr="00286D3B">
        <w:t xml:space="preserve">Once a run is complete, view the results and input parameters used for the run by clicking on the </w:t>
      </w:r>
      <w:r w:rsidRPr="00286D3B">
        <w:rPr>
          <w:rStyle w:val="Button"/>
          <w:sz w:val="24"/>
        </w:rPr>
        <w:t>View Results</w:t>
      </w:r>
      <w:r w:rsidRPr="00286D3B">
        <w:t xml:space="preserve"> button on the </w:t>
      </w:r>
      <w:r w:rsidRPr="00286D3B">
        <w:rPr>
          <w:rStyle w:val="Button"/>
          <w:sz w:val="24"/>
        </w:rPr>
        <w:t>Main Menu</w:t>
      </w:r>
      <w:r w:rsidRPr="00286D3B">
        <w:t xml:space="preserve">. This will open the </w:t>
      </w:r>
      <w:r w:rsidRPr="00286D3B">
        <w:rPr>
          <w:rStyle w:val="Button"/>
          <w:sz w:val="24"/>
        </w:rPr>
        <w:t>Results</w:t>
      </w:r>
      <w:r w:rsidRPr="00286D3B">
        <w:t xml:space="preserve"> window. When you are done viewing results, click on the × at the top right corner of the </w:t>
      </w:r>
      <w:r w:rsidRPr="00286D3B">
        <w:rPr>
          <w:rStyle w:val="Button"/>
          <w:sz w:val="24"/>
        </w:rPr>
        <w:t>Results</w:t>
      </w:r>
      <w:r w:rsidRPr="00286D3B">
        <w:t xml:space="preserve"> window to close it and return to the </w:t>
      </w:r>
      <w:r w:rsidRPr="00286D3B">
        <w:rPr>
          <w:rStyle w:val="Button"/>
          <w:sz w:val="24"/>
        </w:rPr>
        <w:t>Main Menu</w:t>
      </w:r>
      <w:r w:rsidRPr="00286D3B">
        <w:t xml:space="preserve"> shown in Figure </w:t>
      </w:r>
      <w:r>
        <w:t>6</w:t>
      </w:r>
      <w:r w:rsidRPr="00286D3B">
        <w:t>.</w:t>
      </w:r>
    </w:p>
    <w:p w14:paraId="71E6A777" w14:textId="77777777" w:rsidR="000F6815" w:rsidRPr="00286D3B" w:rsidRDefault="000F6815" w:rsidP="000F6815">
      <w:pPr>
        <w:pStyle w:val="BodyText"/>
      </w:pPr>
      <w:r w:rsidRPr="00286D3B">
        <w:t xml:space="preserve">Note that the Tool shows all results and inputs in a tabular format; graphical outputs are beyond the scope of the Tool (as well as the software used to implement it). However, all results and inputs can easily be exported to Excel (see </w:t>
      </w:r>
      <w:r w:rsidRPr="00286D3B">
        <w:rPr>
          <w:b/>
          <w:bCs/>
        </w:rPr>
        <w:t>Section 5.2</w:t>
      </w:r>
      <w:r w:rsidRPr="00286D3B">
        <w:t>). Once exported to Excel, you can create whatever graphs serve your specific needs, or save the data to a comma separated value file to import it into more sophisticated graphing software.</w:t>
      </w:r>
    </w:p>
    <w:p w14:paraId="38B371F9" w14:textId="77777777" w:rsidR="000F6815" w:rsidRPr="00286D3B" w:rsidRDefault="000F6815" w:rsidP="00911CBD">
      <w:pPr>
        <w:pStyle w:val="Heading2"/>
      </w:pPr>
      <w:bookmarkStart w:id="114" w:name="_Toc99449966"/>
      <w:bookmarkStart w:id="115" w:name="_Toc128041942"/>
      <w:r w:rsidRPr="00286D3B">
        <w:t>5.1</w:t>
      </w:r>
      <w:r w:rsidRPr="00286D3B">
        <w:tab/>
        <w:t>View Results</w:t>
      </w:r>
      <w:bookmarkEnd w:id="114"/>
      <w:bookmarkEnd w:id="115"/>
    </w:p>
    <w:p w14:paraId="57282D1B" w14:textId="77777777" w:rsidR="000F6815" w:rsidRPr="00286D3B" w:rsidRDefault="000F6815" w:rsidP="000F6815">
      <w:pPr>
        <w:pStyle w:val="BodyText"/>
      </w:pPr>
      <w:r w:rsidRPr="00286D3B">
        <w:t xml:space="preserve">The </w:t>
      </w:r>
      <w:r w:rsidRPr="00286D3B">
        <w:rPr>
          <w:rStyle w:val="Button"/>
          <w:sz w:val="24"/>
        </w:rPr>
        <w:t>Results</w:t>
      </w:r>
      <w:r w:rsidRPr="00286D3B">
        <w:rPr>
          <w:i/>
          <w:iCs/>
        </w:rPr>
        <w:t xml:space="preserve"> </w:t>
      </w:r>
      <w:r w:rsidRPr="00286D3B">
        <w:t xml:space="preserve">window displays results separately for the LAU and surface disposal units. Buttons at the top of the </w:t>
      </w:r>
      <w:r w:rsidRPr="00286D3B">
        <w:rPr>
          <w:rStyle w:val="Button"/>
          <w:sz w:val="24"/>
        </w:rPr>
        <w:t>Results</w:t>
      </w:r>
      <w:r w:rsidRPr="00286D3B">
        <w:rPr>
          <w:i/>
          <w:iCs/>
        </w:rPr>
        <w:t xml:space="preserve"> </w:t>
      </w:r>
      <w:r w:rsidRPr="00286D3B">
        <w:t xml:space="preserve">window allow you to switch between LAU and surface disposal results. </w:t>
      </w:r>
      <w:r w:rsidRPr="00286D3B">
        <w:rPr>
          <w:b/>
          <w:bCs/>
        </w:rPr>
        <w:t>Figure 2</w:t>
      </w:r>
      <w:r>
        <w:rPr>
          <w:b/>
          <w:bCs/>
        </w:rPr>
        <w:t>7</w:t>
      </w:r>
      <w:r w:rsidRPr="00286D3B">
        <w:t xml:space="preserve"> shows the top of the </w:t>
      </w:r>
      <w:r w:rsidRPr="00286D3B">
        <w:rPr>
          <w:rStyle w:val="Button"/>
          <w:sz w:val="24"/>
        </w:rPr>
        <w:t>Results</w:t>
      </w:r>
      <w:r w:rsidRPr="00286D3B">
        <w:t xml:space="preserve"> window for LAU results; the surface disposal window is essentially the same, except that the ecological results pane will always be </w:t>
      </w:r>
      <w:proofErr w:type="gramStart"/>
      <w:r w:rsidRPr="00286D3B">
        <w:t>empty, since</w:t>
      </w:r>
      <w:proofErr w:type="gramEnd"/>
      <w:r w:rsidRPr="00286D3B">
        <w:t xml:space="preserve"> ecological receptors are not modeled for the surface disposal unit. Depending on your display settings, you may need to make the </w:t>
      </w:r>
      <w:r w:rsidRPr="00286D3B">
        <w:rPr>
          <w:rStyle w:val="Button"/>
          <w:sz w:val="24"/>
        </w:rPr>
        <w:t>Results</w:t>
      </w:r>
      <w:r w:rsidRPr="00286D3B">
        <w:rPr>
          <w:i/>
          <w:iCs/>
        </w:rPr>
        <w:t xml:space="preserve"> </w:t>
      </w:r>
      <w:r w:rsidRPr="00286D3B">
        <w:t>window bigger to see all columns.</w:t>
      </w:r>
    </w:p>
    <w:p w14:paraId="3B5741DF" w14:textId="56EF98D8" w:rsidR="000F6815" w:rsidRPr="00286D3B" w:rsidRDefault="00E2636A" w:rsidP="00736BC5">
      <w:pPr>
        <w:pStyle w:val="Insertfigure"/>
      </w:pPr>
      <w:r>
        <w:rPr>
          <w:noProof/>
        </w:rPr>
        <w:drawing>
          <wp:inline distT="0" distB="0" distL="0" distR="0" wp14:anchorId="40C7885C" wp14:editId="32FC4BA4">
            <wp:extent cx="5943600" cy="4178300"/>
            <wp:effectExtent l="0" t="0" r="0" b="0"/>
            <wp:docPr id="6" name="Picture 6" descr="Graphical user interface,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able&#10;&#10;Description automatically generated with medium confidence"/>
                    <pic:cNvPicPr/>
                  </pic:nvPicPr>
                  <pic:blipFill rotWithShape="1">
                    <a:blip r:embed="rId51">
                      <a:extLst>
                        <a:ext uri="{28A0092B-C50C-407E-A947-70E740481C1C}">
                          <a14:useLocalDpi xmlns:a14="http://schemas.microsoft.com/office/drawing/2010/main" val="0"/>
                        </a:ext>
                      </a:extLst>
                    </a:blip>
                    <a:srcRect b="13284"/>
                    <a:stretch/>
                  </pic:blipFill>
                  <pic:spPr bwMode="auto">
                    <a:xfrm>
                      <a:off x="0" y="0"/>
                      <a:ext cx="5943600" cy="4178300"/>
                    </a:xfrm>
                    <a:prstGeom prst="rect">
                      <a:avLst/>
                    </a:prstGeom>
                    <a:ln>
                      <a:noFill/>
                    </a:ln>
                    <a:extLst>
                      <a:ext uri="{53640926-AAD7-44D8-BBD7-CCE9431645EC}">
                        <a14:shadowObscured xmlns:a14="http://schemas.microsoft.com/office/drawing/2010/main"/>
                      </a:ext>
                    </a:extLst>
                  </pic:spPr>
                </pic:pic>
              </a:graphicData>
            </a:graphic>
          </wp:inline>
        </w:drawing>
      </w:r>
    </w:p>
    <w:p w14:paraId="1D86D26B" w14:textId="77777777" w:rsidR="000F6815" w:rsidRPr="00286D3B" w:rsidRDefault="000F6815" w:rsidP="000F6815">
      <w:pPr>
        <w:pStyle w:val="Figurecaption"/>
      </w:pPr>
      <w:bookmarkStart w:id="116" w:name="_Toc92366084"/>
      <w:bookmarkStart w:id="117" w:name="_Toc103854370"/>
      <w:r w:rsidRPr="00286D3B" w:rsidDel="00534CB3">
        <w:t xml:space="preserve">Figure </w:t>
      </w:r>
      <w:r w:rsidRPr="00286D3B">
        <w:t>2</w:t>
      </w:r>
      <w:r>
        <w:t>7</w:t>
      </w:r>
      <w:r w:rsidRPr="00286D3B" w:rsidDel="00534CB3">
        <w:t xml:space="preserve">. </w:t>
      </w:r>
      <w:r w:rsidRPr="00286D3B" w:rsidDel="00534CB3">
        <w:rPr>
          <w:smallCaps/>
        </w:rPr>
        <w:t>Results</w:t>
      </w:r>
      <w:r w:rsidRPr="00286D3B" w:rsidDel="00534CB3">
        <w:t xml:space="preserve"> window showing </w:t>
      </w:r>
      <w:r w:rsidRPr="00286D3B">
        <w:t>LAU</w:t>
      </w:r>
      <w:r w:rsidRPr="00286D3B" w:rsidDel="00534CB3">
        <w:t xml:space="preserve"> results.</w:t>
      </w:r>
      <w:bookmarkEnd w:id="116"/>
      <w:bookmarkEnd w:id="117"/>
      <w:r w:rsidRPr="00286D3B" w:rsidDel="00534CB3">
        <w:t xml:space="preserve"> </w:t>
      </w:r>
    </w:p>
    <w:p w14:paraId="58431482" w14:textId="77777777" w:rsidR="000F6815" w:rsidRPr="00286D3B" w:rsidRDefault="000F6815" w:rsidP="000F6815">
      <w:pPr>
        <w:pStyle w:val="BodyText"/>
      </w:pPr>
      <w:bookmarkStart w:id="118" w:name="_Hlk92364788"/>
      <w:r w:rsidRPr="00286D3B">
        <w:lastRenderedPageBreak/>
        <w:t xml:space="preserve">The </w:t>
      </w:r>
      <w:r w:rsidRPr="00286D3B">
        <w:rPr>
          <w:rStyle w:val="Button"/>
          <w:sz w:val="24"/>
        </w:rPr>
        <w:t>Results</w:t>
      </w:r>
      <w:r w:rsidRPr="00286D3B">
        <w:rPr>
          <w:i/>
          <w:iCs/>
        </w:rPr>
        <w:t xml:space="preserve"> </w:t>
      </w:r>
      <w:r w:rsidRPr="00286D3B">
        <w:t>window includes three tables: human results, ecological results, and model inputs.</w:t>
      </w:r>
    </w:p>
    <w:bookmarkEnd w:id="118"/>
    <w:p w14:paraId="20769D90" w14:textId="13EE939E" w:rsidR="000F6815" w:rsidRPr="00286D3B" w:rsidRDefault="000F6815" w:rsidP="000F6815">
      <w:pPr>
        <w:pStyle w:val="BodyText"/>
        <w:rPr>
          <w:bCs/>
        </w:rPr>
      </w:pPr>
      <w:r w:rsidRPr="00286D3B">
        <w:t xml:space="preserve">The tables for </w:t>
      </w:r>
      <w:r w:rsidRPr="00286D3B">
        <w:rPr>
          <w:smallCaps/>
        </w:rPr>
        <w:t>human Results and ecological results</w:t>
      </w:r>
      <w:r w:rsidRPr="00286D3B">
        <w:t xml:space="preserve"> are shown in Figure 2</w:t>
      </w:r>
      <w:r>
        <w:t>7</w:t>
      </w:r>
      <w:r w:rsidRPr="00286D3B">
        <w:t xml:space="preserve">. The results can be sorted or filtered by clicking on the column headers, as illustrated in Figure 26, which shows the drop down for sorting or filtering human results by scenario. </w:t>
      </w:r>
      <w:r w:rsidRPr="00286D3B">
        <w:rPr>
          <w:bCs/>
        </w:rPr>
        <w:t xml:space="preserve">Note the </w:t>
      </w:r>
      <w:r w:rsidRPr="00286D3B">
        <w:rPr>
          <w:bCs/>
          <w:smallCaps/>
        </w:rPr>
        <w:t>Ecological Results</w:t>
      </w:r>
      <w:r w:rsidRPr="00286D3B">
        <w:rPr>
          <w:bCs/>
        </w:rPr>
        <w:t xml:space="preserve"> table will be empty for LAU if no ecological receptors were selected, and is always empty for surface disposal, as ecological receptors are not modeled. </w:t>
      </w:r>
    </w:p>
    <w:p w14:paraId="01876B18" w14:textId="77777777" w:rsidR="000F6815" w:rsidRPr="00286D3B" w:rsidRDefault="000F6815" w:rsidP="000F6815">
      <w:pPr>
        <w:pStyle w:val="BodyText"/>
      </w:pPr>
      <w:r w:rsidRPr="00286D3B">
        <w:t>These tables show the following information:</w:t>
      </w:r>
    </w:p>
    <w:p w14:paraId="432419A9" w14:textId="77777777" w:rsidR="000F6815" w:rsidRPr="00286D3B" w:rsidRDefault="000F6815" w:rsidP="00347221">
      <w:pPr>
        <w:pStyle w:val="ListBullet"/>
      </w:pPr>
      <w:r w:rsidRPr="00286D3B">
        <w:rPr>
          <w:b/>
          <w:bCs/>
        </w:rPr>
        <w:t>Scenario:</w:t>
      </w:r>
      <w:r w:rsidRPr="00286D3B">
        <w:t xml:space="preserve"> for LAU, this is crop, pasture, reclamation (all may be selected for a run); for surface disposal, liner type.</w:t>
      </w:r>
    </w:p>
    <w:p w14:paraId="5AF94D19" w14:textId="77777777" w:rsidR="000F6815" w:rsidRPr="00286D3B" w:rsidRDefault="000F6815" w:rsidP="00347221">
      <w:pPr>
        <w:pStyle w:val="ListBullet"/>
      </w:pPr>
      <w:r w:rsidRPr="00286D3B">
        <w:rPr>
          <w:b/>
          <w:bCs/>
        </w:rPr>
        <w:t>Climate:</w:t>
      </w:r>
      <w:r w:rsidRPr="00286D3B">
        <w:t xml:space="preserve"> dry, average, wet (only one may be selected for a run)</w:t>
      </w:r>
    </w:p>
    <w:p w14:paraId="290FA22F" w14:textId="77777777" w:rsidR="000F6815" w:rsidRPr="00286D3B" w:rsidRDefault="000F6815" w:rsidP="00347221">
      <w:pPr>
        <w:pStyle w:val="ListBullet"/>
        <w:rPr>
          <w:b/>
        </w:rPr>
      </w:pPr>
      <w:r w:rsidRPr="00286D3B">
        <w:rPr>
          <w:b/>
        </w:rPr>
        <w:t>CAS Number and Chemical Name</w:t>
      </w:r>
      <w:r w:rsidRPr="00286D3B">
        <w:t xml:space="preserve"> (one or more may be selected for a run)</w:t>
      </w:r>
    </w:p>
    <w:p w14:paraId="57CDA057" w14:textId="77777777" w:rsidR="000F6815" w:rsidRPr="00286D3B" w:rsidRDefault="000F6815" w:rsidP="00347221">
      <w:pPr>
        <w:pStyle w:val="ListBullet"/>
        <w:rPr>
          <w:b/>
          <w:bCs/>
        </w:rPr>
      </w:pPr>
      <w:r w:rsidRPr="00286D3B">
        <w:rPr>
          <w:b/>
          <w:bCs/>
        </w:rPr>
        <w:t xml:space="preserve">Receptor: </w:t>
      </w:r>
      <w:r w:rsidRPr="00286D3B">
        <w:t>for human results, either Adult Farmer or Child of Farmer; for ecological results, results for all selected receptors will be shown.</w:t>
      </w:r>
    </w:p>
    <w:p w14:paraId="068D1D73" w14:textId="77777777" w:rsidR="000F6815" w:rsidRPr="00286D3B" w:rsidRDefault="000F6815" w:rsidP="00347221">
      <w:pPr>
        <w:pStyle w:val="ListBullet"/>
        <w:rPr>
          <w:b/>
          <w:bCs/>
        </w:rPr>
      </w:pPr>
      <w:r w:rsidRPr="00286D3B">
        <w:rPr>
          <w:b/>
          <w:bCs/>
        </w:rPr>
        <w:t xml:space="preserve">Pathway: </w:t>
      </w:r>
      <w:r w:rsidRPr="00286D3B">
        <w:t>the exposure pathway. You will only see pathways you selected, plus total ingestion for LAU. Note that total ingestion will only include ingestion pathways selected. The pathways are named for the exposure medium (e.g., air, exposed fruit). The surface disposal results include only one ingestion pathway (groundwater), thus total ingestion is the same as groundwater.</w:t>
      </w:r>
    </w:p>
    <w:p w14:paraId="6EAF7135" w14:textId="77777777" w:rsidR="000F6815" w:rsidRPr="00286D3B" w:rsidRDefault="000F6815" w:rsidP="00347221">
      <w:pPr>
        <w:pStyle w:val="ListBullet"/>
      </w:pPr>
      <w:r w:rsidRPr="00286D3B">
        <w:rPr>
          <w:b/>
          <w:bCs/>
        </w:rPr>
        <w:t>Endpoint (human only):</w:t>
      </w:r>
      <w:r w:rsidRPr="00286D3B">
        <w:t xml:space="preserve"> either cancer and noncancer; if a chemical has both types of health toxicity value, results are calculated for both and they appear on separate rows.</w:t>
      </w:r>
    </w:p>
    <w:p w14:paraId="5B96F371" w14:textId="77777777" w:rsidR="000F6815" w:rsidRPr="00286D3B" w:rsidRDefault="000F6815" w:rsidP="00347221">
      <w:pPr>
        <w:pStyle w:val="ListBullet"/>
      </w:pPr>
      <w:r w:rsidRPr="00286D3B">
        <w:rPr>
          <w:b/>
          <w:bCs/>
        </w:rPr>
        <w:t>Risk/HQ:</w:t>
      </w:r>
      <w:r w:rsidRPr="00286D3B">
        <w:t xml:space="preserve"> if the endpoint is cancer, this is a risk; if it is noncancer, this is an HQ. All ecological results are HQs. A zero value may indicate one of two things: (1) that the media concentration was so low that it was truncated to zero by the underlying computational model (this happens a lot with groundwater) or (2) that the BCF</w:t>
      </w:r>
      <w:r>
        <w:t xml:space="preserve">/BAF </w:t>
      </w:r>
      <w:r w:rsidRPr="00286D3B">
        <w:t>for this pathway is missing or zero. This latter case would be indicated by a value of “missing” in the BCF</w:t>
      </w:r>
      <w:r>
        <w:t xml:space="preserve">/BAF </w:t>
      </w:r>
      <w:r w:rsidRPr="00286D3B">
        <w:t>warning column (see below).</w:t>
      </w:r>
    </w:p>
    <w:p w14:paraId="49061330" w14:textId="77777777" w:rsidR="000F6815" w:rsidRPr="00286D3B" w:rsidRDefault="000F6815" w:rsidP="00347221">
      <w:pPr>
        <w:pStyle w:val="ListBullet"/>
      </w:pPr>
      <w:r w:rsidRPr="00286D3B">
        <w:rPr>
          <w:b/>
          <w:bCs/>
        </w:rPr>
        <w:t>Media Concentration and Concentration Units:</w:t>
      </w:r>
      <w:r w:rsidRPr="00286D3B">
        <w:t xml:space="preserve"> the media concentration used to calculate the risk or HQ, along with the units. The pathway identifies the medium associated with this concentration. So, if the pathway is “</w:t>
      </w:r>
      <w:proofErr w:type="spellStart"/>
      <w:r w:rsidRPr="00286D3B">
        <w:t>ExFruit</w:t>
      </w:r>
      <w:proofErr w:type="spellEnd"/>
      <w:r w:rsidRPr="00286D3B">
        <w:t>” (exposed fruit), then the media concentration is the concentration of the chemical in exposed fruit. Note that the total ingestion pathway risk or HQ has no associated media concentration, because it is the sum of the individual ingestion pathway risks or HQs (and so, based on the media concentrations for all of those).</w:t>
      </w:r>
    </w:p>
    <w:p w14:paraId="091AE9D0" w14:textId="77777777" w:rsidR="000F6815" w:rsidRPr="00286D3B" w:rsidRDefault="000F6815" w:rsidP="00347221">
      <w:pPr>
        <w:pStyle w:val="ListBulletlast"/>
      </w:pPr>
      <w:r w:rsidRPr="00286D3B">
        <w:rPr>
          <w:b/>
          <w:bCs/>
        </w:rPr>
        <w:t>Warning:</w:t>
      </w:r>
      <w:r w:rsidRPr="00286D3B">
        <w:t xml:space="preserve"> for human results, this may display various warnings or be blank (if there are no warnings). Warnings that may be displayed here include:</w:t>
      </w:r>
    </w:p>
    <w:p w14:paraId="68888E14" w14:textId="77777777" w:rsidR="000F6815" w:rsidRPr="00286D3B" w:rsidRDefault="000F6815" w:rsidP="00347221">
      <w:pPr>
        <w:pStyle w:val="ListBullet2"/>
      </w:pPr>
      <w:r w:rsidRPr="00286D3B">
        <w:rPr>
          <w:i/>
          <w:iCs/>
        </w:rPr>
        <w:t>Solubility limit exceeded:</w:t>
      </w:r>
      <w:r w:rsidRPr="00286D3B">
        <w:t xml:space="preserve"> For LAUs, this warning indicates that the solubility in soil porewater was exceeded in the LAU source model. The LAU model does not cap </w:t>
      </w:r>
      <w:r w:rsidRPr="00347221">
        <w:t>the</w:t>
      </w:r>
      <w:r w:rsidRPr="00286D3B">
        <w:t xml:space="preserve"> porewater concentration at </w:t>
      </w:r>
      <w:r w:rsidRPr="00736BC5">
        <w:t>the</w:t>
      </w:r>
      <w:r w:rsidRPr="00286D3B">
        <w:t xml:space="preserve"> solubility, but completes the run with the concentrations as calculated, but the results should be used with caution. This typically only occurs for constituents with very, very low solubilities when the application rate has been set to or near the high</w:t>
      </w:r>
      <w:r>
        <w:t>-</w:t>
      </w:r>
      <w:r w:rsidRPr="00286D3B">
        <w:t>end values.</w:t>
      </w:r>
    </w:p>
    <w:p w14:paraId="59BF73F9" w14:textId="2196CFA7" w:rsidR="000F6815" w:rsidRPr="00286D3B" w:rsidRDefault="000F6815" w:rsidP="00347221">
      <w:pPr>
        <w:pStyle w:val="ListBullet2"/>
      </w:pPr>
      <w:r w:rsidRPr="00286D3B">
        <w:rPr>
          <w:i/>
          <w:iCs/>
        </w:rPr>
        <w:t>BCF</w:t>
      </w:r>
      <w:r>
        <w:rPr>
          <w:i/>
          <w:iCs/>
        </w:rPr>
        <w:t>/BAF</w:t>
      </w:r>
      <w:r w:rsidRPr="00286D3B">
        <w:rPr>
          <w:i/>
          <w:iCs/>
        </w:rPr>
        <w:t xml:space="preserve"> bounded low (or high):</w:t>
      </w:r>
      <w:r w:rsidRPr="00286D3B">
        <w:t xml:space="preserve"> For organics, this warning indicates that the log K</w:t>
      </w:r>
      <w:r w:rsidRPr="00286D3B">
        <w:rPr>
          <w:vertAlign w:val="subscript"/>
        </w:rPr>
        <w:t>ow</w:t>
      </w:r>
      <w:r w:rsidRPr="00286D3B">
        <w:t xml:space="preserve"> used to estimate the BCF</w:t>
      </w:r>
      <w:r>
        <w:t>/BAF</w:t>
      </w:r>
      <w:r w:rsidRPr="00286D3B">
        <w:t xml:space="preserve"> fell outside the applicable range of the correlation </w:t>
      </w:r>
      <w:r w:rsidRPr="00286D3B">
        <w:lastRenderedPageBreak/>
        <w:t>equation used, so the log K</w:t>
      </w:r>
      <w:r w:rsidRPr="00286D3B">
        <w:rPr>
          <w:vertAlign w:val="subscript"/>
        </w:rPr>
        <w:t>ow</w:t>
      </w:r>
      <w:r w:rsidRPr="00286D3B">
        <w:t xml:space="preserve"> was bounded at the corresponding end of the applicable range of log K</w:t>
      </w:r>
      <w:r w:rsidRPr="00286D3B">
        <w:rPr>
          <w:vertAlign w:val="subscript"/>
        </w:rPr>
        <w:t>ow</w:t>
      </w:r>
      <w:r w:rsidRPr="00286D3B">
        <w:t xml:space="preserve"> before estimating the BCF</w:t>
      </w:r>
      <w:r>
        <w:t>/BAF</w:t>
      </w:r>
      <w:r w:rsidRPr="00286D3B">
        <w:t>. For example, the correlation equation for estimating soil to above-ground crop uptake (Br) has a valid log</w:t>
      </w:r>
      <w:r w:rsidR="0016649A">
        <w:t xml:space="preserve"> </w:t>
      </w:r>
      <w:proofErr w:type="spellStart"/>
      <w:r w:rsidRPr="00286D3B">
        <w:t>K</w:t>
      </w:r>
      <w:r w:rsidRPr="00286D3B">
        <w:rPr>
          <w:vertAlign w:val="subscript"/>
        </w:rPr>
        <w:t>ow</w:t>
      </w:r>
      <w:proofErr w:type="spellEnd"/>
      <w:r w:rsidRPr="00286D3B">
        <w:t xml:space="preserve"> range of 1.15 to 9.35; the Br for a constituent with a log K</w:t>
      </w:r>
      <w:r w:rsidRPr="00286D3B">
        <w:rPr>
          <w:vertAlign w:val="subscript"/>
        </w:rPr>
        <w:t>ow</w:t>
      </w:r>
      <w:r w:rsidRPr="00286D3B">
        <w:t xml:space="preserve"> of 1 would be estimated based on the low end of the log K</w:t>
      </w:r>
      <w:r w:rsidRPr="00286D3B">
        <w:rPr>
          <w:vertAlign w:val="subscript"/>
        </w:rPr>
        <w:t>ow</w:t>
      </w:r>
      <w:r w:rsidRPr="00286D3B">
        <w:t xml:space="preserve"> range (log </w:t>
      </w:r>
      <w:proofErr w:type="spellStart"/>
      <w:r w:rsidRPr="00286D3B">
        <w:t>K</w:t>
      </w:r>
      <w:r w:rsidRPr="00286D3B">
        <w:rPr>
          <w:vertAlign w:val="subscript"/>
        </w:rPr>
        <w:t>ow</w:t>
      </w:r>
      <w:proofErr w:type="spellEnd"/>
      <w:r w:rsidRPr="00286D3B">
        <w:t xml:space="preserve"> = 1.15) and be flagged as “bounded low”.</w:t>
      </w:r>
      <w:r w:rsidRPr="00286D3B" w:rsidDel="00CA0F44">
        <w:t xml:space="preserve"> </w:t>
      </w:r>
      <w:r w:rsidRPr="00286D3B">
        <w:t xml:space="preserve">The “low” or “high” designation refers to the </w:t>
      </w:r>
      <w:r w:rsidRPr="00286D3B">
        <w:rPr>
          <w:i/>
          <w:iCs/>
        </w:rPr>
        <w:t>input</w:t>
      </w:r>
      <w:r w:rsidRPr="00286D3B">
        <w:t xml:space="preserve"> parameter (log K</w:t>
      </w:r>
      <w:r w:rsidRPr="00286D3B">
        <w:rPr>
          <w:vertAlign w:val="subscript"/>
        </w:rPr>
        <w:t>ow</w:t>
      </w:r>
      <w:r w:rsidRPr="00286D3B">
        <w:t xml:space="preserve"> or, for air-to-plant transfer [</w:t>
      </w:r>
      <w:proofErr w:type="spellStart"/>
      <w:r w:rsidRPr="00286D3B">
        <w:t>Bv</w:t>
      </w:r>
      <w:proofErr w:type="spellEnd"/>
      <w:r w:rsidRPr="00286D3B">
        <w:t xml:space="preserve">], HLC), </w:t>
      </w:r>
      <w:r w:rsidRPr="00286D3B">
        <w:rPr>
          <w:i/>
          <w:iCs/>
        </w:rPr>
        <w:t>not</w:t>
      </w:r>
      <w:r w:rsidRPr="00286D3B">
        <w:t xml:space="preserve"> the resulting BCF</w:t>
      </w:r>
      <w:r>
        <w:t>/BAF</w:t>
      </w:r>
      <w:r w:rsidRPr="00286D3B">
        <w:t>. The different BCFs</w:t>
      </w:r>
      <w:r>
        <w:t>/BAFs</w:t>
      </w:r>
      <w:r w:rsidRPr="00286D3B">
        <w:t xml:space="preserve"> have different relationships to log K</w:t>
      </w:r>
      <w:r w:rsidRPr="00286D3B">
        <w:rPr>
          <w:vertAlign w:val="subscript"/>
        </w:rPr>
        <w:t>ow</w:t>
      </w:r>
      <w:r w:rsidRPr="00286D3B">
        <w:t xml:space="preserve"> (or HLC): for soil to root vegetable uptake, the root concentration factor (RCF) increases as log K</w:t>
      </w:r>
      <w:r w:rsidRPr="00286D3B">
        <w:rPr>
          <w:vertAlign w:val="subscript"/>
        </w:rPr>
        <w:t>ow</w:t>
      </w:r>
      <w:r w:rsidRPr="00286D3B">
        <w:t xml:space="preserve"> increases; Br decreases as </w:t>
      </w:r>
      <w:proofErr w:type="spellStart"/>
      <w:r w:rsidRPr="00286D3B">
        <w:t>as</w:t>
      </w:r>
      <w:proofErr w:type="spellEnd"/>
      <w:r w:rsidRPr="00286D3B">
        <w:t xml:space="preserve"> log </w:t>
      </w:r>
      <w:proofErr w:type="spellStart"/>
      <w:r w:rsidRPr="00286D3B">
        <w:t>K</w:t>
      </w:r>
      <w:r w:rsidRPr="00286D3B">
        <w:rPr>
          <w:vertAlign w:val="subscript"/>
        </w:rPr>
        <w:t>ow</w:t>
      </w:r>
      <w:proofErr w:type="spellEnd"/>
      <w:r w:rsidRPr="00286D3B">
        <w:t xml:space="preserve"> increases; </w:t>
      </w:r>
      <w:proofErr w:type="spellStart"/>
      <w:r w:rsidRPr="00286D3B">
        <w:t>Bv</w:t>
      </w:r>
      <w:proofErr w:type="spellEnd"/>
      <w:r w:rsidRPr="00286D3B">
        <w:t xml:space="preserve"> increases as log K</w:t>
      </w:r>
      <w:r w:rsidRPr="00286D3B">
        <w:rPr>
          <w:vertAlign w:val="subscript"/>
        </w:rPr>
        <w:t>ow</w:t>
      </w:r>
      <w:r w:rsidRPr="00286D3B">
        <w:t xml:space="preserve"> increases and decreases as HLC increase; and finally, the BCFs</w:t>
      </w:r>
      <w:r>
        <w:t>/BAFs</w:t>
      </w:r>
      <w:r w:rsidRPr="00286D3B">
        <w:t xml:space="preserve"> for beef and milk increase as log K</w:t>
      </w:r>
      <w:r w:rsidRPr="00286D3B">
        <w:rPr>
          <w:vertAlign w:val="subscript"/>
        </w:rPr>
        <w:t>ow</w:t>
      </w:r>
      <w:r w:rsidRPr="00286D3B">
        <w:t xml:space="preserve"> increases from -0.67 (the lower end of the valid range) to 5, then decreases as log K</w:t>
      </w:r>
      <w:r w:rsidRPr="00286D3B">
        <w:rPr>
          <w:vertAlign w:val="subscript"/>
        </w:rPr>
        <w:t>ow</w:t>
      </w:r>
      <w:r w:rsidRPr="00286D3B">
        <w:t xml:space="preserve"> increases from 5 to 8.2 (the upper end of the valid range).. </w:t>
      </w:r>
    </w:p>
    <w:p w14:paraId="20D10814" w14:textId="77777777" w:rsidR="000F6815" w:rsidRPr="00286D3B" w:rsidRDefault="000F6815" w:rsidP="00347221">
      <w:pPr>
        <w:pStyle w:val="ListBullet2"/>
      </w:pPr>
      <w:r w:rsidRPr="00286D3B">
        <w:rPr>
          <w:i/>
          <w:iCs/>
        </w:rPr>
        <w:t>BCF</w:t>
      </w:r>
      <w:r>
        <w:rPr>
          <w:i/>
          <w:iCs/>
        </w:rPr>
        <w:t>/BAF</w:t>
      </w:r>
      <w:r w:rsidRPr="00286D3B">
        <w:rPr>
          <w:i/>
          <w:iCs/>
        </w:rPr>
        <w:t xml:space="preserve"> estimated:</w:t>
      </w:r>
      <w:r w:rsidRPr="00286D3B">
        <w:t xml:space="preserve"> for organics for the fish pathway, this warning indicates that the fish BCF was estimated using EPISuite, rather than based on data. Data-based values are always preferred if available.</w:t>
      </w:r>
    </w:p>
    <w:p w14:paraId="0E2F9AF8" w14:textId="77777777" w:rsidR="000F6815" w:rsidRPr="00286D3B" w:rsidRDefault="000F6815" w:rsidP="00347221">
      <w:pPr>
        <w:pStyle w:val="ListBullet2"/>
      </w:pPr>
      <w:r w:rsidRPr="00286D3B">
        <w:rPr>
          <w:i/>
          <w:iCs/>
        </w:rPr>
        <w:t>BCF</w:t>
      </w:r>
      <w:r>
        <w:rPr>
          <w:i/>
          <w:iCs/>
        </w:rPr>
        <w:t>/BAF</w:t>
      </w:r>
      <w:r w:rsidRPr="00286D3B">
        <w:rPr>
          <w:i/>
          <w:iCs/>
        </w:rPr>
        <w:t xml:space="preserve"> is surrogate: </w:t>
      </w:r>
      <w:r w:rsidRPr="00286D3B">
        <w:t>for the fish pathway, this warning indicates that a fish BCF</w:t>
      </w:r>
      <w:r>
        <w:rPr>
          <w:i/>
          <w:iCs/>
        </w:rPr>
        <w:t>/BAF</w:t>
      </w:r>
      <w:r w:rsidRPr="00286D3B">
        <w:t xml:space="preserve"> was available for only one trophic level (rather than both) and was used for both, or that fish BCFs</w:t>
      </w:r>
      <w:r>
        <w:rPr>
          <w:i/>
          <w:iCs/>
        </w:rPr>
        <w:t>/BAFs</w:t>
      </w:r>
      <w:r w:rsidRPr="00286D3B">
        <w:t xml:space="preserve"> were available only for whole fish and those were used for filet for human consumption. </w:t>
      </w:r>
    </w:p>
    <w:p w14:paraId="5358DC4E" w14:textId="77777777" w:rsidR="000F6815" w:rsidRPr="00286D3B" w:rsidRDefault="000F6815" w:rsidP="00347221">
      <w:pPr>
        <w:pStyle w:val="ListBullet2"/>
      </w:pPr>
      <w:r w:rsidRPr="00286D3B">
        <w:rPr>
          <w:i/>
          <w:iCs/>
        </w:rPr>
        <w:t>BCF</w:t>
      </w:r>
      <w:r>
        <w:rPr>
          <w:i/>
          <w:iCs/>
        </w:rPr>
        <w:t>/BAF</w:t>
      </w:r>
      <w:r w:rsidRPr="00286D3B">
        <w:rPr>
          <w:i/>
          <w:iCs/>
        </w:rPr>
        <w:t xml:space="preserve"> </w:t>
      </w:r>
      <w:proofErr w:type="gramStart"/>
      <w:r w:rsidRPr="00286D3B">
        <w:rPr>
          <w:i/>
          <w:iCs/>
        </w:rPr>
        <w:t>missing</w:t>
      </w:r>
      <w:r w:rsidRPr="00286D3B">
        <w:t>:</w:t>
      </w:r>
      <w:proofErr w:type="gramEnd"/>
      <w:r w:rsidRPr="00286D3B">
        <w:t xml:space="preserve"> for inorganics for the fish pathway, this warning indicates that no data were available for fish BCF</w:t>
      </w:r>
      <w:r>
        <w:rPr>
          <w:i/>
          <w:iCs/>
        </w:rPr>
        <w:t>/BAF</w:t>
      </w:r>
      <w:r w:rsidRPr="00286D3B">
        <w:t>. EPISuite cannot be used to estimate properties for inorganics, so missing fish BCFs</w:t>
      </w:r>
      <w:r>
        <w:rPr>
          <w:i/>
          <w:iCs/>
        </w:rPr>
        <w:t>/BAFs</w:t>
      </w:r>
      <w:r w:rsidRPr="00286D3B">
        <w:t xml:space="preserve"> cannot be estimated as they are for organics. This warning may also appear for inorganics for plant, beef, or milk pathways, where it also indicates that no BCF</w:t>
      </w:r>
      <w:r>
        <w:rPr>
          <w:i/>
          <w:iCs/>
        </w:rPr>
        <w:t>/BAF</w:t>
      </w:r>
      <w:r w:rsidRPr="00286D3B">
        <w:t xml:space="preserve"> is available for that pathway. Missing plant or animal BCFs</w:t>
      </w:r>
      <w:r>
        <w:rPr>
          <w:i/>
          <w:iCs/>
        </w:rPr>
        <w:t>/BAFs</w:t>
      </w:r>
      <w:r w:rsidRPr="00286D3B">
        <w:t xml:space="preserve"> cannot be estimated from log K</w:t>
      </w:r>
      <w:r w:rsidRPr="00286D3B">
        <w:rPr>
          <w:vertAlign w:val="subscript"/>
        </w:rPr>
        <w:t>ow</w:t>
      </w:r>
      <w:r w:rsidRPr="00286D3B">
        <w:t xml:space="preserve"> as they are for organics.</w:t>
      </w:r>
    </w:p>
    <w:p w14:paraId="13088FBB" w14:textId="77777777" w:rsidR="000F6815" w:rsidRPr="00286D3B" w:rsidDel="00534CB3" w:rsidRDefault="000F6815" w:rsidP="000F6815">
      <w:pPr>
        <w:pStyle w:val="BodyTextlast"/>
      </w:pPr>
      <w:bookmarkStart w:id="119" w:name="_Hlk92365098"/>
      <w:r w:rsidRPr="00286D3B">
        <w:t xml:space="preserve">The first six tabs of the </w:t>
      </w:r>
      <w:r w:rsidRPr="00286D3B">
        <w:rPr>
          <w:rStyle w:val="Button"/>
          <w:sz w:val="24"/>
        </w:rPr>
        <w:t>Model Inputs</w:t>
      </w:r>
      <w:r w:rsidRPr="00286D3B">
        <w:t xml:space="preserve"> section of the </w:t>
      </w:r>
      <w:r w:rsidRPr="00286D3B">
        <w:rPr>
          <w:rStyle w:val="Button"/>
          <w:sz w:val="24"/>
        </w:rPr>
        <w:t>Results</w:t>
      </w:r>
      <w:r w:rsidRPr="00286D3B">
        <w:rPr>
          <w:rStyle w:val="BodyTextChar"/>
        </w:rPr>
        <w:t xml:space="preserve"> window </w:t>
      </w:r>
      <w:r w:rsidRPr="00286D3B">
        <w:t xml:space="preserve">are laid out identically to those shown in Figures </w:t>
      </w:r>
      <w:r>
        <w:t>20</w:t>
      </w:r>
      <w:r w:rsidRPr="00286D3B">
        <w:t>–2</w:t>
      </w:r>
      <w:r>
        <w:t>6</w:t>
      </w:r>
      <w:r w:rsidRPr="00286D3B">
        <w:t xml:space="preserve"> so </w:t>
      </w:r>
      <w:proofErr w:type="gramStart"/>
      <w:r w:rsidRPr="00286D3B">
        <w:t>are</w:t>
      </w:r>
      <w:proofErr w:type="gramEnd"/>
      <w:r w:rsidRPr="00286D3B">
        <w:t xml:space="preserve"> not repeated here. However, on the </w:t>
      </w:r>
      <w:r w:rsidRPr="00286D3B">
        <w:rPr>
          <w:rStyle w:val="Button"/>
          <w:sz w:val="24"/>
        </w:rPr>
        <w:t>Chemical Inputs</w:t>
      </w:r>
      <w:r w:rsidRPr="00286D3B">
        <w:t xml:space="preserve"> tab on the </w:t>
      </w:r>
      <w:r w:rsidRPr="00286D3B">
        <w:rPr>
          <w:rStyle w:val="Button"/>
          <w:sz w:val="24"/>
        </w:rPr>
        <w:t>Results</w:t>
      </w:r>
      <w:r w:rsidRPr="00286D3B">
        <w:t xml:space="preserve"> screen, parameters with missing values are displayed in red, to make it easier to see them and determine what impact the missing data might have on the results. For example, if both the RfC and IUR are missing for a chemical, there will be no air results for that chemical. In addition, the</w:t>
      </w:r>
      <w:r w:rsidRPr="00286D3B">
        <w:rPr>
          <w:rStyle w:val="Button"/>
          <w:sz w:val="24"/>
        </w:rPr>
        <w:t xml:space="preserve"> Model Inputs</w:t>
      </w:r>
      <w:r w:rsidRPr="00286D3B">
        <w:t xml:space="preserve"> section of the </w:t>
      </w:r>
      <w:r w:rsidRPr="00286D3B">
        <w:rPr>
          <w:rStyle w:val="Button"/>
          <w:sz w:val="24"/>
        </w:rPr>
        <w:t>Results</w:t>
      </w:r>
      <w:r w:rsidRPr="00286D3B">
        <w:rPr>
          <w:rStyle w:val="BodyTextChar"/>
        </w:rPr>
        <w:t xml:space="preserve"> window </w:t>
      </w:r>
      <w:r w:rsidRPr="00286D3B">
        <w:t xml:space="preserve">includes two tabs to document the human pathways and ecological receptors selected for the run; these are not included in the </w:t>
      </w:r>
      <w:r w:rsidRPr="00286D3B">
        <w:rPr>
          <w:rStyle w:val="Button"/>
          <w:sz w:val="24"/>
        </w:rPr>
        <w:t>Inputs</w:t>
      </w:r>
      <w:r w:rsidRPr="00286D3B">
        <w:t xml:space="preserve"> tab in the </w:t>
      </w:r>
      <w:r w:rsidRPr="00286D3B">
        <w:rPr>
          <w:rStyle w:val="Button"/>
          <w:sz w:val="24"/>
        </w:rPr>
        <w:t>Configure Model</w:t>
      </w:r>
      <w:r w:rsidRPr="00286D3B">
        <w:t xml:space="preserve"> window, because these choices can be viewed on the </w:t>
      </w:r>
      <w:r w:rsidRPr="00286D3B">
        <w:rPr>
          <w:rStyle w:val="Button"/>
          <w:sz w:val="24"/>
        </w:rPr>
        <w:t>Human</w:t>
      </w:r>
      <w:r w:rsidRPr="00286D3B">
        <w:t xml:space="preserve"> </w:t>
      </w:r>
      <w:r w:rsidRPr="00286D3B">
        <w:rPr>
          <w:rStyle w:val="Button"/>
          <w:sz w:val="24"/>
        </w:rPr>
        <w:t>Exposure</w:t>
      </w:r>
      <w:r w:rsidRPr="00286D3B">
        <w:t xml:space="preserve"> and </w:t>
      </w:r>
      <w:r w:rsidRPr="00286D3B">
        <w:rPr>
          <w:rStyle w:val="Button"/>
          <w:sz w:val="24"/>
        </w:rPr>
        <w:t>Ecological</w:t>
      </w:r>
      <w:r w:rsidRPr="00286D3B">
        <w:t xml:space="preserve"> </w:t>
      </w:r>
      <w:r w:rsidRPr="00286D3B">
        <w:rPr>
          <w:rStyle w:val="Button"/>
          <w:sz w:val="24"/>
        </w:rPr>
        <w:t>Exposure</w:t>
      </w:r>
      <w:r w:rsidRPr="00286D3B">
        <w:t xml:space="preserve"> tabs of the </w:t>
      </w:r>
      <w:r w:rsidRPr="00286D3B">
        <w:rPr>
          <w:rStyle w:val="Button"/>
          <w:sz w:val="24"/>
        </w:rPr>
        <w:t>Configure Model</w:t>
      </w:r>
      <w:r w:rsidRPr="00286D3B">
        <w:t xml:space="preserve"> window (see Figures 1</w:t>
      </w:r>
      <w:r>
        <w:t>6</w:t>
      </w:r>
      <w:r w:rsidRPr="00286D3B">
        <w:t xml:space="preserve"> and 1</w:t>
      </w:r>
      <w:r>
        <w:t>7</w:t>
      </w:r>
      <w:r w:rsidRPr="00286D3B">
        <w:t xml:space="preserve">). </w:t>
      </w:r>
    </w:p>
    <w:bookmarkEnd w:id="119"/>
    <w:p w14:paraId="4A7EA1EB" w14:textId="77777777" w:rsidR="000F6815" w:rsidRPr="00286D3B" w:rsidRDefault="000F6815" w:rsidP="000F6815">
      <w:pPr>
        <w:pStyle w:val="BodyTextfirst"/>
      </w:pPr>
      <w:r w:rsidRPr="00286D3B">
        <w:rPr>
          <w:noProof/>
          <w:lang w:eastAsia="en-US"/>
        </w:rPr>
        <w:lastRenderedPageBreak/>
        <mc:AlternateContent>
          <mc:Choice Requires="wps">
            <w:drawing>
              <wp:inline distT="0" distB="0" distL="0" distR="0" wp14:anchorId="5FA116E5" wp14:editId="3C02F272">
                <wp:extent cx="5928995" cy="1719072"/>
                <wp:effectExtent l="0" t="0" r="14605" b="14605"/>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8995" cy="1719072"/>
                        </a:xfrm>
                        <a:prstGeom prst="rect">
                          <a:avLst/>
                        </a:prstGeom>
                        <a:solidFill>
                          <a:schemeClr val="accent1">
                            <a:lumMod val="20000"/>
                            <a:lumOff val="80000"/>
                          </a:schemeClr>
                        </a:solidFill>
                        <a:ln w="9525">
                          <a:solidFill>
                            <a:srgbClr val="000000"/>
                          </a:solidFill>
                          <a:miter lim="800000"/>
                          <a:headEnd/>
                          <a:tailEnd/>
                        </a:ln>
                      </wps:spPr>
                      <wps:txbx>
                        <w:txbxContent>
                          <w:p w14:paraId="6B5E465A" w14:textId="77777777" w:rsidR="000F6815" w:rsidRDefault="000F6815" w:rsidP="000F6815">
                            <w:pPr>
                              <w:pStyle w:val="Textbox"/>
                            </w:pPr>
                            <w:r w:rsidRPr="00F27615">
                              <w:rPr>
                                <w:b/>
                                <w:bCs/>
                              </w:rPr>
                              <w:t>IMPORTANT!</w:t>
                            </w:r>
                            <w:r w:rsidRPr="00F27615">
                              <w:t xml:space="preserve"> </w:t>
                            </w:r>
                            <w:r>
                              <w:t xml:space="preserve">The </w:t>
                            </w:r>
                            <w:r w:rsidRPr="002B6F2E">
                              <w:rPr>
                                <w:smallCaps/>
                              </w:rPr>
                              <w:t>Model Inputs</w:t>
                            </w:r>
                            <w:r>
                              <w:t xml:space="preserve"> tabs in the </w:t>
                            </w:r>
                            <w:r w:rsidRPr="002B6F2E">
                              <w:rPr>
                                <w:smallCaps/>
                              </w:rPr>
                              <w:t>Results</w:t>
                            </w:r>
                            <w:r>
                              <w:t xml:space="preserve"> window and the </w:t>
                            </w:r>
                            <w:r w:rsidRPr="002B6F2E">
                              <w:rPr>
                                <w:smallCaps/>
                              </w:rPr>
                              <w:t>Inputs</w:t>
                            </w:r>
                            <w:r>
                              <w:t xml:space="preserve"> tabs in the </w:t>
                            </w:r>
                            <w:r w:rsidRPr="002B6F2E">
                              <w:rPr>
                                <w:rStyle w:val="Button"/>
                                <w:szCs w:val="18"/>
                              </w:rPr>
                              <w:t>Configure</w:t>
                            </w:r>
                            <w:r w:rsidRPr="002B6F2E">
                              <w:rPr>
                                <w:szCs w:val="18"/>
                              </w:rPr>
                              <w:t xml:space="preserve"> </w:t>
                            </w:r>
                            <w:r w:rsidRPr="002B6F2E">
                              <w:rPr>
                                <w:rStyle w:val="Button"/>
                                <w:szCs w:val="18"/>
                              </w:rPr>
                              <w:t>Model</w:t>
                            </w:r>
                            <w:r>
                              <w:t xml:space="preserve"> window are laid out the same way, but may not contain the same values:</w:t>
                            </w:r>
                          </w:p>
                          <w:p w14:paraId="1ABDD40C" w14:textId="77777777" w:rsidR="000F6815" w:rsidRPr="00C00F1B" w:rsidRDefault="000F6815" w:rsidP="000F6815">
                            <w:pPr>
                              <w:pStyle w:val="Textboxbullet"/>
                              <w:spacing w:after="60"/>
                              <w:rPr>
                                <w:sz w:val="18"/>
                                <w:szCs w:val="18"/>
                              </w:rPr>
                            </w:pPr>
                            <w:r w:rsidRPr="00C00F1B">
                              <w:rPr>
                                <w:sz w:val="18"/>
                                <w:szCs w:val="18"/>
                              </w:rPr>
                              <w:t xml:space="preserve">The </w:t>
                            </w:r>
                            <w:r w:rsidRPr="00C00F1B">
                              <w:rPr>
                                <w:smallCaps/>
                                <w:sz w:val="18"/>
                                <w:szCs w:val="18"/>
                              </w:rPr>
                              <w:t>Model Inputs</w:t>
                            </w:r>
                            <w:r w:rsidRPr="00C00F1B">
                              <w:rPr>
                                <w:sz w:val="18"/>
                                <w:szCs w:val="18"/>
                              </w:rPr>
                              <w:t xml:space="preserve"> tabs in the </w:t>
                            </w:r>
                            <w:r w:rsidRPr="00C00F1B">
                              <w:rPr>
                                <w:smallCaps/>
                                <w:sz w:val="18"/>
                                <w:szCs w:val="18"/>
                              </w:rPr>
                              <w:t>Results</w:t>
                            </w:r>
                            <w:r w:rsidRPr="00C00F1B">
                              <w:rPr>
                                <w:sz w:val="18"/>
                                <w:szCs w:val="18"/>
                              </w:rPr>
                              <w:t xml:space="preserve"> window reflect the inputs used in the most recent model run (so the input values associated with the results shown).</w:t>
                            </w:r>
                          </w:p>
                          <w:p w14:paraId="7F7C92D1" w14:textId="77777777" w:rsidR="000F6815" w:rsidRPr="00C00F1B" w:rsidRDefault="000F6815" w:rsidP="000F6815">
                            <w:pPr>
                              <w:pStyle w:val="Textboxbullet"/>
                              <w:spacing w:after="60"/>
                              <w:rPr>
                                <w:sz w:val="18"/>
                                <w:szCs w:val="18"/>
                              </w:rPr>
                            </w:pPr>
                            <w:r w:rsidRPr="00C00F1B">
                              <w:rPr>
                                <w:sz w:val="18"/>
                                <w:szCs w:val="18"/>
                              </w:rPr>
                              <w:t xml:space="preserve">The </w:t>
                            </w:r>
                            <w:r w:rsidRPr="00C00F1B">
                              <w:rPr>
                                <w:smallCaps/>
                                <w:sz w:val="18"/>
                                <w:szCs w:val="18"/>
                              </w:rPr>
                              <w:t>Inputs</w:t>
                            </w:r>
                            <w:r w:rsidRPr="00C00F1B">
                              <w:rPr>
                                <w:sz w:val="18"/>
                                <w:szCs w:val="18"/>
                              </w:rPr>
                              <w:t xml:space="preserve"> tabs in the </w:t>
                            </w:r>
                            <w:r w:rsidRPr="00C00F1B">
                              <w:rPr>
                                <w:rStyle w:val="Button"/>
                                <w:sz w:val="18"/>
                                <w:szCs w:val="18"/>
                              </w:rPr>
                              <w:t>Configure</w:t>
                            </w:r>
                            <w:r w:rsidRPr="00C00F1B">
                              <w:rPr>
                                <w:sz w:val="18"/>
                                <w:szCs w:val="18"/>
                              </w:rPr>
                              <w:t xml:space="preserve"> </w:t>
                            </w:r>
                            <w:r w:rsidRPr="00C00F1B">
                              <w:rPr>
                                <w:rStyle w:val="Button"/>
                                <w:sz w:val="18"/>
                                <w:szCs w:val="18"/>
                              </w:rPr>
                              <w:t>Model</w:t>
                            </w:r>
                            <w:r w:rsidRPr="00C00F1B">
                              <w:rPr>
                                <w:sz w:val="18"/>
                                <w:szCs w:val="18"/>
                              </w:rPr>
                              <w:t xml:space="preserve"> window reflect the latest changes to the inputs, which may not have been run yet.</w:t>
                            </w:r>
                          </w:p>
                          <w:p w14:paraId="6919608C" w14:textId="77777777" w:rsidR="000F6815" w:rsidRPr="00E2149D" w:rsidRDefault="000F6815" w:rsidP="000F6815">
                            <w:pPr>
                              <w:pStyle w:val="Textbox"/>
                            </w:pPr>
                            <w:r>
                              <w:t xml:space="preserve">Immediately after a run, these two sets of </w:t>
                            </w:r>
                            <w:r w:rsidRPr="00C00F1B">
                              <w:rPr>
                                <w:smallCaps/>
                              </w:rPr>
                              <w:t>Inputs</w:t>
                            </w:r>
                            <w:r>
                              <w:t xml:space="preserve"> tabs will have identical content. However, as soon as you go back to the </w:t>
                            </w:r>
                            <w:r w:rsidRPr="002B6F2E">
                              <w:rPr>
                                <w:rStyle w:val="Button"/>
                                <w:szCs w:val="18"/>
                              </w:rPr>
                              <w:t>Configure</w:t>
                            </w:r>
                            <w:r w:rsidRPr="002B6F2E">
                              <w:rPr>
                                <w:szCs w:val="18"/>
                              </w:rPr>
                              <w:t xml:space="preserve"> </w:t>
                            </w:r>
                            <w:r w:rsidRPr="002B6F2E">
                              <w:rPr>
                                <w:rStyle w:val="Button"/>
                                <w:szCs w:val="18"/>
                              </w:rPr>
                              <w:t>Model</w:t>
                            </w:r>
                            <w:r>
                              <w:t xml:space="preserve"> window and revise any inputs, including chemical selections, those changes will be reflected in the</w:t>
                            </w:r>
                            <w:r w:rsidRPr="002B6F2E">
                              <w:rPr>
                                <w:szCs w:val="18"/>
                              </w:rPr>
                              <w:t xml:space="preserve"> </w:t>
                            </w:r>
                            <w:r w:rsidRPr="002B6F2E">
                              <w:rPr>
                                <w:rStyle w:val="Button"/>
                                <w:szCs w:val="18"/>
                              </w:rPr>
                              <w:t>Inputs</w:t>
                            </w:r>
                            <w:r>
                              <w:t xml:space="preserve"> tab of the </w:t>
                            </w:r>
                            <w:r w:rsidRPr="002B6F2E">
                              <w:rPr>
                                <w:rStyle w:val="Button"/>
                                <w:szCs w:val="18"/>
                              </w:rPr>
                              <w:t>Configure Model</w:t>
                            </w:r>
                            <w:r>
                              <w:t xml:space="preserve"> window, but they will </w:t>
                            </w:r>
                            <w:r w:rsidRPr="002B6F2E">
                              <w:rPr>
                                <w:i/>
                                <w:iCs/>
                              </w:rPr>
                              <w:t>not</w:t>
                            </w:r>
                            <w:r>
                              <w:t xml:space="preserve"> be reflected in the </w:t>
                            </w:r>
                            <w:r w:rsidRPr="002B6F2E">
                              <w:rPr>
                                <w:rStyle w:val="Button"/>
                                <w:szCs w:val="18"/>
                              </w:rPr>
                              <w:t>Inputs</w:t>
                            </w:r>
                            <w:r w:rsidRPr="002B6F2E">
                              <w:rPr>
                                <w:szCs w:val="18"/>
                              </w:rPr>
                              <w:t xml:space="preserve"> table on the </w:t>
                            </w:r>
                            <w:r w:rsidRPr="002B6F2E">
                              <w:rPr>
                                <w:rStyle w:val="Button"/>
                                <w:szCs w:val="18"/>
                              </w:rPr>
                              <w:t>Results</w:t>
                            </w:r>
                            <w:r w:rsidRPr="002B6F2E">
                              <w:rPr>
                                <w:szCs w:val="18"/>
                              </w:rPr>
                              <w:t xml:space="preserve"> window unt</w:t>
                            </w:r>
                            <w:r>
                              <w:t>il you rerun the model.</w:t>
                            </w:r>
                          </w:p>
                          <w:p w14:paraId="0D99C82F" w14:textId="77777777" w:rsidR="000F6815" w:rsidRPr="00E2149D" w:rsidRDefault="000F6815" w:rsidP="000F6815">
                            <w:pPr>
                              <w:rPr>
                                <w:rFonts w:asciiTheme="minorBidi" w:hAnsiTheme="minorBidi"/>
                                <w:sz w:val="18"/>
                                <w:szCs w:val="18"/>
                              </w:rPr>
                            </w:pPr>
                          </w:p>
                        </w:txbxContent>
                      </wps:txbx>
                      <wps:bodyPr rot="0" vert="horz" wrap="square" lIns="91440" tIns="45720" rIns="91440" bIns="45720" anchor="t" anchorCtr="0">
                        <a:noAutofit/>
                      </wps:bodyPr>
                    </wps:wsp>
                  </a:graphicData>
                </a:graphic>
              </wp:inline>
            </w:drawing>
          </mc:Choice>
          <mc:Fallback>
            <w:pict>
              <v:shape w14:anchorId="5FA116E5" id="_x0000_s1033" type="#_x0000_t202" style="width:466.85pt;height:135.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" fillcolor="#d9e2f3 [660]">
                <v:textbox>
                  <w:txbxContent>
                    <w:p w14:paraId="6B5E465A" w14:textId="77777777" w:rsidR="000F6815" w:rsidRDefault="000F6815" w:rsidP="000F6815">
                      <w:pPr>
                        <w:pStyle w:val="Textbox"/>
                      </w:pPr>
                      <w:r w:rsidRPr="00F27615">
                        <w:rPr>
                          <w:b/>
                          <w:bCs/>
                        </w:rPr>
                        <w:t>IMPORTANT!</w:t>
                      </w:r>
                      <w:r w:rsidRPr="00F27615">
                        <w:t xml:space="preserve"> </w:t>
                      </w:r>
                      <w:r>
                        <w:t xml:space="preserve">The </w:t>
                      </w:r>
                      <w:r w:rsidRPr="002B6F2E">
                        <w:rPr>
                          <w:smallCaps/>
                        </w:rPr>
                        <w:t>Model Inputs</w:t>
                      </w:r>
                      <w:r>
                        <w:t xml:space="preserve"> tabs in the </w:t>
                      </w:r>
                      <w:r w:rsidRPr="002B6F2E">
                        <w:rPr>
                          <w:smallCaps/>
                        </w:rPr>
                        <w:t>Results</w:t>
                      </w:r>
                      <w:r>
                        <w:t xml:space="preserve"> window and the </w:t>
                      </w:r>
                      <w:r w:rsidRPr="002B6F2E">
                        <w:rPr>
                          <w:smallCaps/>
                        </w:rPr>
                        <w:t>Inputs</w:t>
                      </w:r>
                      <w:r>
                        <w:t xml:space="preserve"> tabs in the </w:t>
                      </w:r>
                      <w:r w:rsidRPr="002B6F2E">
                        <w:rPr>
                          <w:rStyle w:val="Button"/>
                          <w:szCs w:val="18"/>
                        </w:rPr>
                        <w:t>Configure</w:t>
                      </w:r>
                      <w:r w:rsidRPr="002B6F2E">
                        <w:rPr>
                          <w:szCs w:val="18"/>
                        </w:rPr>
                        <w:t xml:space="preserve"> </w:t>
                      </w:r>
                      <w:r w:rsidRPr="002B6F2E">
                        <w:rPr>
                          <w:rStyle w:val="Button"/>
                          <w:szCs w:val="18"/>
                        </w:rPr>
                        <w:t>Model</w:t>
                      </w:r>
                      <w:r>
                        <w:t xml:space="preserve"> window are laid out the same way, but may not contain the same values:</w:t>
                      </w:r>
                    </w:p>
                    <w:p w14:paraId="1ABDD40C" w14:textId="77777777" w:rsidR="000F6815" w:rsidRPr="00C00F1B" w:rsidRDefault="000F6815" w:rsidP="000F6815">
                      <w:pPr>
                        <w:pStyle w:val="Textboxbullet"/>
                        <w:spacing w:after="60"/>
                        <w:rPr>
                          <w:sz w:val="18"/>
                          <w:szCs w:val="18"/>
                        </w:rPr>
                      </w:pPr>
                      <w:r w:rsidRPr="00C00F1B">
                        <w:rPr>
                          <w:sz w:val="18"/>
                          <w:szCs w:val="18"/>
                        </w:rPr>
                        <w:t xml:space="preserve">The </w:t>
                      </w:r>
                      <w:r w:rsidRPr="00C00F1B">
                        <w:rPr>
                          <w:smallCaps/>
                          <w:sz w:val="18"/>
                          <w:szCs w:val="18"/>
                        </w:rPr>
                        <w:t>Model Inputs</w:t>
                      </w:r>
                      <w:r w:rsidRPr="00C00F1B">
                        <w:rPr>
                          <w:sz w:val="18"/>
                          <w:szCs w:val="18"/>
                        </w:rPr>
                        <w:t xml:space="preserve"> tabs in the </w:t>
                      </w:r>
                      <w:r w:rsidRPr="00C00F1B">
                        <w:rPr>
                          <w:smallCaps/>
                          <w:sz w:val="18"/>
                          <w:szCs w:val="18"/>
                        </w:rPr>
                        <w:t>Results</w:t>
                      </w:r>
                      <w:r w:rsidRPr="00C00F1B">
                        <w:rPr>
                          <w:sz w:val="18"/>
                          <w:szCs w:val="18"/>
                        </w:rPr>
                        <w:t xml:space="preserve"> window reflect the inputs used in the most recent model run (so the input values associated with the results shown).</w:t>
                      </w:r>
                    </w:p>
                    <w:p w14:paraId="7F7C92D1" w14:textId="77777777" w:rsidR="000F6815" w:rsidRPr="00C00F1B" w:rsidRDefault="000F6815" w:rsidP="000F6815">
                      <w:pPr>
                        <w:pStyle w:val="Textboxbullet"/>
                        <w:spacing w:after="60"/>
                        <w:rPr>
                          <w:sz w:val="18"/>
                          <w:szCs w:val="18"/>
                        </w:rPr>
                      </w:pPr>
                      <w:r w:rsidRPr="00C00F1B">
                        <w:rPr>
                          <w:sz w:val="18"/>
                          <w:szCs w:val="18"/>
                        </w:rPr>
                        <w:t xml:space="preserve">The </w:t>
                      </w:r>
                      <w:r w:rsidRPr="00C00F1B">
                        <w:rPr>
                          <w:smallCaps/>
                          <w:sz w:val="18"/>
                          <w:szCs w:val="18"/>
                        </w:rPr>
                        <w:t>Inputs</w:t>
                      </w:r>
                      <w:r w:rsidRPr="00C00F1B">
                        <w:rPr>
                          <w:sz w:val="18"/>
                          <w:szCs w:val="18"/>
                        </w:rPr>
                        <w:t xml:space="preserve"> tabs in the </w:t>
                      </w:r>
                      <w:r w:rsidRPr="00C00F1B">
                        <w:rPr>
                          <w:rStyle w:val="Button"/>
                          <w:sz w:val="18"/>
                          <w:szCs w:val="18"/>
                        </w:rPr>
                        <w:t>Configure</w:t>
                      </w:r>
                      <w:r w:rsidRPr="00C00F1B">
                        <w:rPr>
                          <w:sz w:val="18"/>
                          <w:szCs w:val="18"/>
                        </w:rPr>
                        <w:t xml:space="preserve"> </w:t>
                      </w:r>
                      <w:r w:rsidRPr="00C00F1B">
                        <w:rPr>
                          <w:rStyle w:val="Button"/>
                          <w:sz w:val="18"/>
                          <w:szCs w:val="18"/>
                        </w:rPr>
                        <w:t>Model</w:t>
                      </w:r>
                      <w:r w:rsidRPr="00C00F1B">
                        <w:rPr>
                          <w:sz w:val="18"/>
                          <w:szCs w:val="18"/>
                        </w:rPr>
                        <w:t xml:space="preserve"> window reflect the latest changes to the inputs, which may not have been run yet.</w:t>
                      </w:r>
                    </w:p>
                    <w:p w14:paraId="6919608C" w14:textId="77777777" w:rsidR="000F6815" w:rsidRPr="00E2149D" w:rsidRDefault="000F6815" w:rsidP="000F6815">
                      <w:pPr>
                        <w:pStyle w:val="Textbox"/>
                      </w:pPr>
                      <w:r>
                        <w:t xml:space="preserve">Immediately after a run, these two sets of </w:t>
                      </w:r>
                      <w:r w:rsidRPr="00C00F1B">
                        <w:rPr>
                          <w:smallCaps/>
                        </w:rPr>
                        <w:t>Inputs</w:t>
                      </w:r>
                      <w:r>
                        <w:t xml:space="preserve"> tabs will have identical content. However, as soon as you go back to the </w:t>
                      </w:r>
                      <w:r w:rsidRPr="002B6F2E">
                        <w:rPr>
                          <w:rStyle w:val="Button"/>
                          <w:szCs w:val="18"/>
                        </w:rPr>
                        <w:t>Configure</w:t>
                      </w:r>
                      <w:r w:rsidRPr="002B6F2E">
                        <w:rPr>
                          <w:szCs w:val="18"/>
                        </w:rPr>
                        <w:t xml:space="preserve"> </w:t>
                      </w:r>
                      <w:r w:rsidRPr="002B6F2E">
                        <w:rPr>
                          <w:rStyle w:val="Button"/>
                          <w:szCs w:val="18"/>
                        </w:rPr>
                        <w:t>Model</w:t>
                      </w:r>
                      <w:r>
                        <w:t xml:space="preserve"> window and revise any inputs, including chemical selections, those changes will be reflected in the</w:t>
                      </w:r>
                      <w:r w:rsidRPr="002B6F2E">
                        <w:rPr>
                          <w:szCs w:val="18"/>
                        </w:rPr>
                        <w:t xml:space="preserve"> </w:t>
                      </w:r>
                      <w:r w:rsidRPr="002B6F2E">
                        <w:rPr>
                          <w:rStyle w:val="Button"/>
                          <w:szCs w:val="18"/>
                        </w:rPr>
                        <w:t>Inputs</w:t>
                      </w:r>
                      <w:r>
                        <w:t xml:space="preserve"> tab of the </w:t>
                      </w:r>
                      <w:r w:rsidRPr="002B6F2E">
                        <w:rPr>
                          <w:rStyle w:val="Button"/>
                          <w:szCs w:val="18"/>
                        </w:rPr>
                        <w:t>Configure Model</w:t>
                      </w:r>
                      <w:r>
                        <w:t xml:space="preserve"> window, but they will </w:t>
                      </w:r>
                      <w:r w:rsidRPr="002B6F2E">
                        <w:rPr>
                          <w:i/>
                          <w:iCs/>
                        </w:rPr>
                        <w:t>not</w:t>
                      </w:r>
                      <w:r>
                        <w:t xml:space="preserve"> be reflected in the </w:t>
                      </w:r>
                      <w:r w:rsidRPr="002B6F2E">
                        <w:rPr>
                          <w:rStyle w:val="Button"/>
                          <w:szCs w:val="18"/>
                        </w:rPr>
                        <w:t>Inputs</w:t>
                      </w:r>
                      <w:r w:rsidRPr="002B6F2E">
                        <w:rPr>
                          <w:szCs w:val="18"/>
                        </w:rPr>
                        <w:t xml:space="preserve"> table on the </w:t>
                      </w:r>
                      <w:r w:rsidRPr="002B6F2E">
                        <w:rPr>
                          <w:rStyle w:val="Button"/>
                          <w:szCs w:val="18"/>
                        </w:rPr>
                        <w:t>Results</w:t>
                      </w:r>
                      <w:r w:rsidRPr="002B6F2E">
                        <w:rPr>
                          <w:szCs w:val="18"/>
                        </w:rPr>
                        <w:t xml:space="preserve"> window unt</w:t>
                      </w:r>
                      <w:r>
                        <w:t>il you rerun the model.</w:t>
                      </w:r>
                    </w:p>
                    <w:p w14:paraId="0D99C82F" w14:textId="77777777" w:rsidR="000F6815" w:rsidRPr="00E2149D" w:rsidRDefault="000F6815" w:rsidP="000F6815">
                      <w:pPr>
                        <w:rPr>
                          <w:rFonts w:asciiTheme="minorBidi" w:hAnsiTheme="minorBidi"/>
                          <w:sz w:val="18"/>
                          <w:szCs w:val="18"/>
                        </w:rPr>
                      </w:pPr>
                    </w:p>
                  </w:txbxContent>
                </v:textbox>
                <w10:anchorlock/>
              </v:shape>
            </w:pict>
          </mc:Fallback>
        </mc:AlternateContent>
      </w:r>
      <w:r w:rsidRPr="00286D3B">
        <w:t xml:space="preserve"> </w:t>
      </w:r>
    </w:p>
    <w:p w14:paraId="77169BEB" w14:textId="77777777" w:rsidR="000F6815" w:rsidRPr="00286D3B" w:rsidRDefault="000F6815" w:rsidP="00911CBD">
      <w:pPr>
        <w:pStyle w:val="Heading2"/>
      </w:pPr>
      <w:bookmarkStart w:id="120" w:name="_Toc99449967"/>
      <w:bookmarkStart w:id="121" w:name="_Hlk92365897"/>
      <w:bookmarkStart w:id="122" w:name="_Toc128041943"/>
      <w:r w:rsidRPr="00286D3B">
        <w:t>5.2</w:t>
      </w:r>
      <w:r w:rsidRPr="00286D3B">
        <w:tab/>
        <w:t xml:space="preserve">Export Results and </w:t>
      </w:r>
      <w:r w:rsidRPr="00980B39">
        <w:t>Associated</w:t>
      </w:r>
      <w:r w:rsidRPr="00286D3B">
        <w:t xml:space="preserve"> Inputs</w:t>
      </w:r>
      <w:bookmarkEnd w:id="120"/>
      <w:bookmarkEnd w:id="122"/>
    </w:p>
    <w:p w14:paraId="396887A0" w14:textId="77777777" w:rsidR="000F6815" w:rsidRPr="00286D3B" w:rsidRDefault="000F6815" w:rsidP="000F6815">
      <w:pPr>
        <w:pStyle w:val="BodyText"/>
      </w:pPr>
      <w:r w:rsidRPr="00286D3B">
        <w:t xml:space="preserve">You can export the results and associated inputs by clicking on the </w:t>
      </w:r>
      <w:r w:rsidRPr="00286D3B">
        <w:rPr>
          <w:rStyle w:val="Button"/>
          <w:sz w:val="24"/>
        </w:rPr>
        <w:t>Export to Excel</w:t>
      </w:r>
      <w:r w:rsidRPr="00286D3B">
        <w:t xml:space="preserve"> button at the top left of the </w:t>
      </w:r>
      <w:r w:rsidRPr="00286D3B">
        <w:rPr>
          <w:rStyle w:val="Button"/>
          <w:sz w:val="24"/>
        </w:rPr>
        <w:t>Results</w:t>
      </w:r>
      <w:r w:rsidRPr="00286D3B">
        <w:t xml:space="preserve"> window (see Figure 2</w:t>
      </w:r>
      <w:r>
        <w:t>7</w:t>
      </w:r>
      <w:r w:rsidRPr="00286D3B">
        <w:t>). Note that this exports only the results and inputs for the selected unit type (LAU or SI). To export both, you will need to export two files, one from each screen.</w:t>
      </w:r>
    </w:p>
    <w:p w14:paraId="7A27C556" w14:textId="77777777" w:rsidR="000F6815" w:rsidRPr="00286D3B" w:rsidRDefault="000F6815" w:rsidP="000F6815">
      <w:pPr>
        <w:pStyle w:val="BodyTextlast"/>
      </w:pPr>
      <w:r w:rsidRPr="00286D3B">
        <w:t xml:space="preserve">You will be prompted for a file name via a standard Windows file save dialog; you can browse to the desired location (it defaults to the folder where you installed the Tool) and select a file name. The resulting Excel file will have twelve sheets corresponding to the two results tabs (human and ecological), the seven inputs tabs, two pathway/receptor selection tabs, and a reference list containing full citations for all references. </w:t>
      </w:r>
      <w:r w:rsidRPr="00286D3B">
        <w:rPr>
          <w:b/>
          <w:bCs/>
        </w:rPr>
        <w:t>Figure 2</w:t>
      </w:r>
      <w:r>
        <w:rPr>
          <w:b/>
          <w:bCs/>
        </w:rPr>
        <w:t>8</w:t>
      </w:r>
      <w:r w:rsidRPr="00286D3B">
        <w:rPr>
          <w:b/>
          <w:bCs/>
        </w:rPr>
        <w:t xml:space="preserve"> </w:t>
      </w:r>
      <w:r w:rsidRPr="00286D3B">
        <w:t>shows a sample export file. Access exports the file with all sheets selected; when you open it, you will need to select a single sheet before many menu options in Excel are available.</w:t>
      </w:r>
    </w:p>
    <w:bookmarkEnd w:id="121"/>
    <w:p w14:paraId="62CA67A1" w14:textId="77777777" w:rsidR="000F6815" w:rsidRPr="00286D3B" w:rsidRDefault="000F6815" w:rsidP="000F6815">
      <w:pPr>
        <w:pStyle w:val="Insertfigure"/>
        <w:rPr>
          <w:szCs w:val="24"/>
        </w:rPr>
      </w:pPr>
      <w:r w:rsidRPr="00286D3B">
        <w:rPr>
          <w:noProof/>
          <w:szCs w:val="24"/>
        </w:rPr>
        <w:drawing>
          <wp:inline distT="0" distB="0" distL="0" distR="0" wp14:anchorId="6C2D7CD4" wp14:editId="281ACA54">
            <wp:extent cx="5943600" cy="234759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2347595"/>
                    </a:xfrm>
                    <a:prstGeom prst="rect">
                      <a:avLst/>
                    </a:prstGeom>
                  </pic:spPr>
                </pic:pic>
              </a:graphicData>
            </a:graphic>
          </wp:inline>
        </w:drawing>
      </w:r>
    </w:p>
    <w:p w14:paraId="09F68134" w14:textId="77777777" w:rsidR="000F6815" w:rsidRPr="00286D3B" w:rsidRDefault="000F6815" w:rsidP="000F6815">
      <w:pPr>
        <w:pStyle w:val="Figurecaption"/>
      </w:pPr>
      <w:bookmarkStart w:id="123" w:name="_Toc92366085"/>
      <w:bookmarkStart w:id="124" w:name="_Toc103854371"/>
      <w:r w:rsidRPr="00286D3B">
        <w:t>Figure 2</w:t>
      </w:r>
      <w:r>
        <w:t>8</w:t>
      </w:r>
      <w:r w:rsidRPr="00286D3B">
        <w:t>. Sample export file.</w:t>
      </w:r>
      <w:bookmarkEnd w:id="123"/>
      <w:bookmarkEnd w:id="124"/>
    </w:p>
    <w:p w14:paraId="50C76914" w14:textId="77777777" w:rsidR="000F6815" w:rsidRPr="00286D3B" w:rsidRDefault="000F6815" w:rsidP="00911CBD">
      <w:pPr>
        <w:pStyle w:val="Heading2"/>
      </w:pPr>
      <w:bookmarkStart w:id="125" w:name="_Toc99449968"/>
      <w:bookmarkStart w:id="126" w:name="_Toc128041944"/>
      <w:r w:rsidRPr="00286D3B">
        <w:t>5.3</w:t>
      </w:r>
      <w:r w:rsidRPr="00286D3B">
        <w:tab/>
      </w:r>
      <w:r w:rsidRPr="00980B39">
        <w:t>Save</w:t>
      </w:r>
      <w:r w:rsidRPr="00286D3B">
        <w:t xml:space="preserve"> a Run</w:t>
      </w:r>
      <w:bookmarkEnd w:id="125"/>
      <w:bookmarkEnd w:id="126"/>
    </w:p>
    <w:p w14:paraId="0D16FF28" w14:textId="77777777" w:rsidR="000F6815" w:rsidRPr="00286D3B" w:rsidRDefault="000F6815" w:rsidP="000F6815">
      <w:pPr>
        <w:pStyle w:val="BodyText"/>
      </w:pPr>
      <w:r w:rsidRPr="00286D3B">
        <w:t xml:space="preserve">As noted earlier, any configuration changes you make are automatically saved in the underlying </w:t>
      </w:r>
      <w:r>
        <w:t>Biosolids Tool</w:t>
      </w:r>
      <w:r w:rsidRPr="00286D3B">
        <w:t xml:space="preserve"> database (BST_v2022xxxx.mdb), including changes to selected scenarios, chemicals, pathways, and receptors and any changes you make to percent solids or chemical-specific inputs. The next time you run the Tool, those settings will be the starting point for any configuration changes you might then make. Thus, the most recent configuration and run results </w:t>
      </w:r>
      <w:r w:rsidRPr="00286D3B">
        <w:lastRenderedPageBreak/>
        <w:t xml:space="preserve">are automatically saved. However, there may be instances in which you want to save a particular configuration and reload and revise it. That cannot be done directly, but it can be done indirectly if you prepare for doing so BEFORE you set up the configuration you want to save: </w:t>
      </w:r>
    </w:p>
    <w:p w14:paraId="464761AB" w14:textId="77777777" w:rsidR="000F6815" w:rsidRPr="00911CBD" w:rsidRDefault="000F6815" w:rsidP="00911CBD">
      <w:pPr>
        <w:pStyle w:val="numlist"/>
        <w:numPr>
          <w:ilvl w:val="0"/>
          <w:numId w:val="15"/>
        </w:numPr>
        <w:rPr>
          <w:b/>
        </w:rPr>
      </w:pPr>
      <w:r w:rsidRPr="00911CBD">
        <w:rPr>
          <w:b/>
          <w:bCs/>
        </w:rPr>
        <w:t>Make a copy of BST_v2022xxxx.mdb</w:t>
      </w:r>
      <w:r w:rsidRPr="00286D3B">
        <w:t xml:space="preserve"> file and rename it to reflect the desired configuration (e.g., BST_arsenic_baseline.mdb)</w:t>
      </w:r>
    </w:p>
    <w:p w14:paraId="3B7AC98B" w14:textId="77777777" w:rsidR="000F6815" w:rsidRPr="00911CBD" w:rsidRDefault="000F6815" w:rsidP="00911CBD">
      <w:pPr>
        <w:pStyle w:val="numlist"/>
        <w:numPr>
          <w:ilvl w:val="0"/>
          <w:numId w:val="15"/>
        </w:numPr>
        <w:rPr>
          <w:b/>
        </w:rPr>
      </w:pPr>
      <w:r w:rsidRPr="00911CBD">
        <w:rPr>
          <w:b/>
          <w:bCs/>
        </w:rPr>
        <w:t>Open this new file</w:t>
      </w:r>
      <w:r w:rsidRPr="00286D3B">
        <w:t xml:space="preserve"> instead of the installed file and revise the settings to the desired configuration. Changes will be automatically saved in the renamed copy.</w:t>
      </w:r>
    </w:p>
    <w:p w14:paraId="7092ACF7" w14:textId="77777777" w:rsidR="000F6815" w:rsidRPr="00286D3B" w:rsidRDefault="000F6815" w:rsidP="000F6815">
      <w:pPr>
        <w:pStyle w:val="BodyText"/>
      </w:pPr>
      <w:r w:rsidRPr="00286D3B">
        <w:rPr>
          <w:noProof/>
          <w:lang w:eastAsia="en-US"/>
        </w:rPr>
        <mc:AlternateContent>
          <mc:Choice Requires="wps">
            <w:drawing>
              <wp:anchor distT="0" distB="0" distL="114300" distR="114300" simplePos="0" relativeHeight="251658244" behindDoc="0" locked="0" layoutInCell="1" allowOverlap="1" wp14:anchorId="26D0AEFE" wp14:editId="5002360C">
                <wp:simplePos x="0" y="0"/>
                <wp:positionH relativeFrom="margin">
                  <wp:align>right</wp:align>
                </wp:positionH>
                <wp:positionV relativeFrom="paragraph">
                  <wp:posOffset>55476</wp:posOffset>
                </wp:positionV>
                <wp:extent cx="2025650" cy="1136650"/>
                <wp:effectExtent l="0" t="0" r="12700" b="25400"/>
                <wp:wrapSquare wrapText="left"/>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5650" cy="1136650"/>
                        </a:xfrm>
                        <a:prstGeom prst="rect">
                          <a:avLst/>
                        </a:prstGeom>
                        <a:solidFill>
                          <a:schemeClr val="accent1">
                            <a:lumMod val="20000"/>
                            <a:lumOff val="80000"/>
                          </a:schemeClr>
                        </a:solidFill>
                        <a:ln w="9525">
                          <a:solidFill>
                            <a:srgbClr val="000000"/>
                          </a:solidFill>
                          <a:miter lim="800000"/>
                          <a:headEnd/>
                          <a:tailEnd/>
                        </a:ln>
                      </wps:spPr>
                      <wps:txbx>
                        <w:txbxContent>
                          <w:p w14:paraId="4DFC1FFD" w14:textId="77777777" w:rsidR="000F6815" w:rsidRPr="00655EC7" w:rsidRDefault="000F6815" w:rsidP="000F6815">
                            <w:pPr>
                              <w:pStyle w:val="Textbox0"/>
                            </w:pPr>
                            <w:r>
                              <w:t xml:space="preserve">Note that the new file name can be anything, but copies </w:t>
                            </w:r>
                            <w:r w:rsidRPr="00F66228">
                              <w:rPr>
                                <w:b/>
                                <w:bCs/>
                              </w:rPr>
                              <w:t>must</w:t>
                            </w:r>
                            <w:r>
                              <w:t xml:space="preserve"> </w:t>
                            </w:r>
                            <w:proofErr w:type="gramStart"/>
                            <w:r>
                              <w:t>be located in</w:t>
                            </w:r>
                            <w:proofErr w:type="gramEnd"/>
                            <w:r>
                              <w:t xml:space="preserve"> the same folder as the installed Biosolids Tool to run. You can save the files and open them to revise the configuration in another location, but the model will not run from another directory.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D0AEFE" id="_x0000_s1034" type="#_x0000_t202" style="position:absolute;margin-left:108.3pt;margin-top:4.35pt;width:159.5pt;height:89.5pt;z-index:2516582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" fillcolor="#d9e2f3 [660]">
                <v:textbox>
                  <w:txbxContent>
                    <w:p w14:paraId="4DFC1FFD" w14:textId="77777777" w:rsidR="000F6815" w:rsidRPr="00655EC7" w:rsidRDefault="000F6815" w:rsidP="000F6815">
                      <w:pPr>
                        <w:pStyle w:val="Textbox0"/>
                      </w:pPr>
                      <w:r>
                        <w:t xml:space="preserve">Note that the new file name can be anything, but copies </w:t>
                      </w:r>
                      <w:r w:rsidRPr="00F66228">
                        <w:rPr>
                          <w:b/>
                          <w:bCs/>
                        </w:rPr>
                        <w:t>must</w:t>
                      </w:r>
                      <w:r>
                        <w:t xml:space="preserve"> </w:t>
                      </w:r>
                      <w:proofErr w:type="gramStart"/>
                      <w:r>
                        <w:t>be located in</w:t>
                      </w:r>
                      <w:proofErr w:type="gramEnd"/>
                      <w:r>
                        <w:t xml:space="preserve"> the same folder as the installed Biosolids Tool to run. You can save the files and open them to revise the configuration in another location, but the model will not run from another directory.</w:t>
                      </w:r>
                    </w:p>
                  </w:txbxContent>
                </v:textbox>
                <w10:wrap type="square" side="left" anchorx="margin"/>
              </v:shape>
            </w:pict>
          </mc:Fallback>
        </mc:AlternateContent>
      </w:r>
      <w:r w:rsidRPr="00286D3B">
        <w:t xml:space="preserve">If you want to save a series of variations on a configuration, you can repeat the above process using either the original file each time or a copy you have already made as a starting point. For example, if you want to save three variants of a run for arsenic, reflecting preloaded, low, and high values for the various </w:t>
      </w:r>
      <w:r>
        <w:t>BCFs/BAFs</w:t>
      </w:r>
      <w:r w:rsidRPr="00286D3B">
        <w:t xml:space="preserve">, make an initial copy (e.g., </w:t>
      </w:r>
      <w:proofErr w:type="spellStart"/>
      <w:r w:rsidRPr="00286D3B">
        <w:t>BST_arsenic_baseline</w:t>
      </w:r>
      <w:proofErr w:type="spellEnd"/>
      <w:r w:rsidRPr="00286D3B">
        <w:t xml:space="preserve">), set that up to run arsenic in the desired pathways with the preloaded chemical data, then make two additional copies of the </w:t>
      </w:r>
      <w:proofErr w:type="spellStart"/>
      <w:r w:rsidRPr="00286D3B">
        <w:t>BST_arsenic_baseline</w:t>
      </w:r>
      <w:proofErr w:type="spellEnd"/>
      <w:r w:rsidRPr="00286D3B">
        <w:t xml:space="preserve"> file (e.g., </w:t>
      </w:r>
      <w:proofErr w:type="spellStart"/>
      <w:r w:rsidRPr="00286D3B">
        <w:t>BST_arsenic_BCFs</w:t>
      </w:r>
      <w:r>
        <w:t>BAFs</w:t>
      </w:r>
      <w:r w:rsidRPr="00286D3B">
        <w:t>_low</w:t>
      </w:r>
      <w:proofErr w:type="spellEnd"/>
      <w:r w:rsidRPr="00286D3B">
        <w:t xml:space="preserve"> and </w:t>
      </w:r>
      <w:proofErr w:type="spellStart"/>
      <w:r w:rsidRPr="00286D3B">
        <w:t>BST_arsenic_BCFs</w:t>
      </w:r>
      <w:r>
        <w:t>BAFs</w:t>
      </w:r>
      <w:r w:rsidRPr="00286D3B">
        <w:t>_high</w:t>
      </w:r>
      <w:proofErr w:type="spellEnd"/>
      <w:r w:rsidRPr="00286D3B">
        <w:t>), open these, and make only the changes to the BCFs</w:t>
      </w:r>
      <w:r>
        <w:t>/BAFs</w:t>
      </w:r>
      <w:r w:rsidRPr="00286D3B">
        <w:t>. You can then open each of these three files, run them, and export the results while maintaining a revisable version of each configuration.</w:t>
      </w:r>
    </w:p>
    <w:p w14:paraId="460266E8" w14:textId="77777777" w:rsidR="000F6815" w:rsidRDefault="000F6815" w:rsidP="000F6815">
      <w:pPr>
        <w:rPr>
          <w:rFonts w:ascii="Arial" w:eastAsia="Times New Roman" w:hAnsi="Arial" w:cs="Times New Roman"/>
          <w:b/>
          <w:bCs/>
          <w:color w:val="44546A" w:themeColor="text2"/>
          <w:sz w:val="32"/>
          <w:szCs w:val="32"/>
          <w:lang w:val="en-CA"/>
        </w:rPr>
      </w:pPr>
      <w:bookmarkStart w:id="127" w:name="_Toc99449969"/>
      <w:r>
        <w:br w:type="page"/>
      </w:r>
    </w:p>
    <w:p w14:paraId="3FBE25BE" w14:textId="1FCF9E45" w:rsidR="00173C25" w:rsidRDefault="00173C25" w:rsidP="00173C25">
      <w:pPr>
        <w:pStyle w:val="Heading1"/>
      </w:pPr>
      <w:bookmarkStart w:id="128" w:name="_Toc99449944"/>
      <w:bookmarkStart w:id="129" w:name="_Toc128041945"/>
      <w:r>
        <w:lastRenderedPageBreak/>
        <w:t>6.</w:t>
      </w:r>
      <w:r w:rsidR="00253FB5">
        <w:tab/>
      </w:r>
      <w:r w:rsidRPr="00664A22">
        <w:t>Limitations</w:t>
      </w:r>
      <w:bookmarkEnd w:id="128"/>
      <w:bookmarkEnd w:id="129"/>
    </w:p>
    <w:p w14:paraId="7CBAC22C" w14:textId="77777777" w:rsidR="00173C25" w:rsidRPr="00450759" w:rsidRDefault="00173C25" w:rsidP="00173C25">
      <w:pPr>
        <w:pStyle w:val="BodyText"/>
      </w:pPr>
      <w:r w:rsidRPr="00286D3B">
        <w:t>The BST currently evaluates human health risks to a farm family, and ecological risk to aquatic and terrestrial organisms from land application and surface disposal of biosolids. There are some limitations of the tool as currently designed.</w:t>
      </w:r>
    </w:p>
    <w:p w14:paraId="23B819E8" w14:textId="4ED0E5FC" w:rsidR="00173C25" w:rsidRPr="00450759" w:rsidRDefault="00173C25" w:rsidP="00173C25">
      <w:pPr>
        <w:spacing w:before="122"/>
        <w:ind w:right="216"/>
        <w:rPr>
          <w:rFonts w:ascii="Times New Roman" w:hAnsi="Times New Roman" w:cs="Times New Roman"/>
          <w:sz w:val="24"/>
          <w:szCs w:val="24"/>
        </w:rPr>
      </w:pPr>
      <w:bookmarkStart w:id="130" w:name="_Hlk99535765"/>
      <w:bookmarkStart w:id="131" w:name="_Hlk99535794"/>
      <w:bookmarkStart w:id="132" w:name="_Hlk99535816"/>
      <w:r w:rsidRPr="00450759">
        <w:rPr>
          <w:rFonts w:ascii="Times New Roman" w:hAnsi="Times New Roman" w:cs="Times New Roman"/>
          <w:b/>
          <w:sz w:val="24"/>
          <w:szCs w:val="24"/>
        </w:rPr>
        <w:t>Additive risk, mixtures</w:t>
      </w:r>
      <w:bookmarkEnd w:id="130"/>
      <w:r w:rsidRPr="00450759">
        <w:rPr>
          <w:rFonts w:ascii="Times New Roman" w:hAnsi="Times New Roman" w:cs="Times New Roman"/>
          <w:b/>
          <w:sz w:val="24"/>
          <w:szCs w:val="24"/>
        </w:rPr>
        <w:t xml:space="preserve">: </w:t>
      </w:r>
      <w:r w:rsidRPr="00450759">
        <w:rPr>
          <w:rFonts w:ascii="Times New Roman" w:hAnsi="Times New Roman" w:cs="Times New Roman"/>
          <w:sz w:val="24"/>
          <w:szCs w:val="24"/>
        </w:rPr>
        <w:t xml:space="preserve">The </w:t>
      </w:r>
      <w:r>
        <w:rPr>
          <w:rFonts w:ascii="Times New Roman" w:hAnsi="Times New Roman" w:cs="Times New Roman"/>
          <w:sz w:val="24"/>
          <w:szCs w:val="24"/>
        </w:rPr>
        <w:t>Biosolids Tool</w:t>
      </w:r>
      <w:r w:rsidRPr="00450759">
        <w:rPr>
          <w:rFonts w:ascii="Times New Roman" w:hAnsi="Times New Roman" w:cs="Times New Roman"/>
          <w:sz w:val="24"/>
          <w:szCs w:val="24"/>
        </w:rPr>
        <w:t xml:space="preserve"> </w:t>
      </w:r>
      <w:r>
        <w:rPr>
          <w:rFonts w:ascii="Times New Roman" w:hAnsi="Times New Roman" w:cs="Times New Roman"/>
          <w:sz w:val="24"/>
          <w:szCs w:val="24"/>
        </w:rPr>
        <w:t xml:space="preserve">is not designed to consider potential dose additivity </w:t>
      </w:r>
      <w:r w:rsidRPr="00450759">
        <w:rPr>
          <w:rFonts w:ascii="Times New Roman" w:hAnsi="Times New Roman" w:cs="Times New Roman"/>
          <w:sz w:val="24"/>
          <w:szCs w:val="24"/>
        </w:rPr>
        <w:t xml:space="preserve">across chemicals </w:t>
      </w:r>
      <w:r>
        <w:rPr>
          <w:rFonts w:ascii="Times New Roman" w:hAnsi="Times New Roman" w:cs="Times New Roman"/>
          <w:sz w:val="24"/>
          <w:szCs w:val="24"/>
        </w:rPr>
        <w:t xml:space="preserve">(e.g., chemicals </w:t>
      </w:r>
      <w:r w:rsidRPr="00450759">
        <w:rPr>
          <w:rFonts w:ascii="Times New Roman" w:hAnsi="Times New Roman" w:cs="Times New Roman"/>
          <w:sz w:val="24"/>
          <w:szCs w:val="24"/>
        </w:rPr>
        <w:t>with similar</w:t>
      </w:r>
      <w:r w:rsidRPr="00450759">
        <w:rPr>
          <w:rFonts w:ascii="Times New Roman" w:hAnsi="Times New Roman" w:cs="Times New Roman"/>
          <w:spacing w:val="1"/>
          <w:sz w:val="24"/>
          <w:szCs w:val="24"/>
        </w:rPr>
        <w:t xml:space="preserve"> </w:t>
      </w:r>
      <w:r w:rsidRPr="00450759">
        <w:rPr>
          <w:rFonts w:ascii="Times New Roman" w:hAnsi="Times New Roman" w:cs="Times New Roman"/>
          <w:sz w:val="24"/>
          <w:szCs w:val="24"/>
        </w:rPr>
        <w:t>target organs or endpoints</w:t>
      </w:r>
      <w:r>
        <w:rPr>
          <w:rFonts w:ascii="Times New Roman" w:hAnsi="Times New Roman" w:cs="Times New Roman"/>
          <w:sz w:val="24"/>
          <w:szCs w:val="24"/>
        </w:rPr>
        <w:t>)</w:t>
      </w:r>
      <w:r w:rsidRPr="00450759">
        <w:rPr>
          <w:rFonts w:ascii="Times New Roman" w:hAnsi="Times New Roman" w:cs="Times New Roman"/>
          <w:sz w:val="24"/>
          <w:szCs w:val="24"/>
        </w:rPr>
        <w:t>. This is in keeping with its status as a model to support (chemical-specific)</w:t>
      </w:r>
      <w:r w:rsidRPr="00450759">
        <w:rPr>
          <w:rFonts w:ascii="Times New Roman" w:hAnsi="Times New Roman" w:cs="Times New Roman"/>
          <w:spacing w:val="1"/>
          <w:sz w:val="24"/>
          <w:szCs w:val="24"/>
        </w:rPr>
        <w:t xml:space="preserve"> </w:t>
      </w:r>
      <w:r w:rsidRPr="00450759">
        <w:rPr>
          <w:rFonts w:ascii="Times New Roman" w:hAnsi="Times New Roman" w:cs="Times New Roman"/>
          <w:sz w:val="24"/>
          <w:szCs w:val="24"/>
        </w:rPr>
        <w:t xml:space="preserve">concentration-based regulation. </w:t>
      </w:r>
      <w:r>
        <w:rPr>
          <w:rFonts w:ascii="Times New Roman" w:hAnsi="Times New Roman" w:cs="Times New Roman"/>
          <w:sz w:val="24"/>
          <w:szCs w:val="24"/>
        </w:rPr>
        <w:t>The BST cannot</w:t>
      </w:r>
      <w:r w:rsidRPr="00450759">
        <w:rPr>
          <w:rFonts w:ascii="Times New Roman" w:hAnsi="Times New Roman" w:cs="Times New Roman"/>
          <w:spacing w:val="1"/>
          <w:sz w:val="24"/>
          <w:szCs w:val="24"/>
        </w:rPr>
        <w:t xml:space="preserve"> </w:t>
      </w:r>
      <w:r>
        <w:rPr>
          <w:rFonts w:ascii="Times New Roman" w:hAnsi="Times New Roman" w:cs="Times New Roman"/>
          <w:spacing w:val="1"/>
          <w:sz w:val="24"/>
          <w:szCs w:val="24"/>
        </w:rPr>
        <w:t xml:space="preserve">currently </w:t>
      </w:r>
      <w:r w:rsidRPr="00450759">
        <w:rPr>
          <w:rFonts w:ascii="Times New Roman" w:hAnsi="Times New Roman" w:cs="Times New Roman"/>
          <w:sz w:val="24"/>
          <w:szCs w:val="24"/>
        </w:rPr>
        <w:t>accommodate a</w:t>
      </w:r>
      <w:r w:rsidR="001A3062">
        <w:rPr>
          <w:rFonts w:ascii="Times New Roman" w:hAnsi="Times New Roman" w:cs="Times New Roman"/>
          <w:sz w:val="24"/>
          <w:szCs w:val="24"/>
        </w:rPr>
        <w:t xml:space="preserve"> toxicity equivalent (</w:t>
      </w:r>
      <w:r w:rsidRPr="00450759">
        <w:rPr>
          <w:rFonts w:ascii="Times New Roman" w:hAnsi="Times New Roman" w:cs="Times New Roman"/>
          <w:sz w:val="24"/>
          <w:szCs w:val="24"/>
        </w:rPr>
        <w:t>TEQ</w:t>
      </w:r>
      <w:r w:rsidR="001A3062">
        <w:rPr>
          <w:rFonts w:ascii="Times New Roman" w:hAnsi="Times New Roman" w:cs="Times New Roman"/>
          <w:sz w:val="24"/>
          <w:szCs w:val="24"/>
        </w:rPr>
        <w:t>)</w:t>
      </w:r>
      <w:r w:rsidRPr="00450759">
        <w:rPr>
          <w:rFonts w:ascii="Times New Roman" w:hAnsi="Times New Roman" w:cs="Times New Roman"/>
          <w:sz w:val="24"/>
          <w:szCs w:val="24"/>
        </w:rPr>
        <w:t xml:space="preserve"> approach to sets of chemicals with similar modes of action.</w:t>
      </w:r>
      <w:bookmarkEnd w:id="131"/>
    </w:p>
    <w:p w14:paraId="68C69FF0" w14:textId="77777777" w:rsidR="00173C25" w:rsidRPr="00235449" w:rsidRDefault="00173C25" w:rsidP="00173C25">
      <w:pPr>
        <w:spacing w:before="122"/>
        <w:ind w:right="216"/>
        <w:rPr>
          <w:rFonts w:ascii="Times New Roman" w:hAnsi="Times New Roman" w:cs="Times New Roman"/>
          <w:b/>
          <w:sz w:val="24"/>
          <w:szCs w:val="24"/>
        </w:rPr>
      </w:pPr>
      <w:r w:rsidRPr="00450759">
        <w:rPr>
          <w:rFonts w:ascii="Times New Roman" w:hAnsi="Times New Roman" w:cs="Times New Roman"/>
          <w:b/>
          <w:sz w:val="24"/>
          <w:szCs w:val="24"/>
        </w:rPr>
        <w:t xml:space="preserve">Biological hazards: </w:t>
      </w:r>
      <w:r w:rsidRPr="00235449">
        <w:rPr>
          <w:rFonts w:ascii="Times New Roman" w:hAnsi="Times New Roman" w:cs="Times New Roman"/>
          <w:bCs/>
          <w:sz w:val="24"/>
          <w:szCs w:val="24"/>
        </w:rPr>
        <w:t xml:space="preserve">The </w:t>
      </w:r>
      <w:r>
        <w:rPr>
          <w:rFonts w:ascii="Times New Roman" w:hAnsi="Times New Roman" w:cs="Times New Roman"/>
          <w:bCs/>
          <w:sz w:val="24"/>
          <w:szCs w:val="24"/>
        </w:rPr>
        <w:t>BST</w:t>
      </w:r>
      <w:r w:rsidRPr="00235449">
        <w:rPr>
          <w:rFonts w:ascii="Times New Roman" w:hAnsi="Times New Roman" w:cs="Times New Roman"/>
          <w:bCs/>
          <w:sz w:val="24"/>
          <w:szCs w:val="24"/>
        </w:rPr>
        <w:t xml:space="preserve"> includes algorithms only for chemical risk assessment to inform</w:t>
      </w:r>
      <w:r w:rsidRPr="00235449">
        <w:rPr>
          <w:rFonts w:ascii="Times New Roman" w:hAnsi="Times New Roman" w:cs="Times New Roman"/>
          <w:bCs/>
          <w:spacing w:val="1"/>
          <w:sz w:val="24"/>
          <w:szCs w:val="24"/>
        </w:rPr>
        <w:t xml:space="preserve"> </w:t>
      </w:r>
      <w:r w:rsidRPr="00235449">
        <w:rPr>
          <w:rFonts w:ascii="Times New Roman" w:hAnsi="Times New Roman" w:cs="Times New Roman"/>
          <w:bCs/>
          <w:sz w:val="24"/>
          <w:szCs w:val="24"/>
        </w:rPr>
        <w:t>concentration-based</w:t>
      </w:r>
      <w:r w:rsidRPr="00450759">
        <w:rPr>
          <w:rFonts w:ascii="Times New Roman" w:hAnsi="Times New Roman" w:cs="Times New Roman"/>
          <w:sz w:val="24"/>
          <w:szCs w:val="24"/>
        </w:rPr>
        <w:t xml:space="preserve"> standards and cannot model pathogens or other biological agents such as parasite eggs, oocysts,</w:t>
      </w:r>
      <w:r w:rsidRPr="00450759">
        <w:rPr>
          <w:rFonts w:ascii="Times New Roman" w:hAnsi="Times New Roman" w:cs="Times New Roman"/>
          <w:spacing w:val="-47"/>
          <w:sz w:val="24"/>
          <w:szCs w:val="24"/>
        </w:rPr>
        <w:t xml:space="preserve"> </w:t>
      </w:r>
      <w:r>
        <w:rPr>
          <w:rFonts w:ascii="Times New Roman" w:hAnsi="Times New Roman" w:cs="Times New Roman"/>
          <w:spacing w:val="-47"/>
          <w:sz w:val="24"/>
          <w:szCs w:val="24"/>
        </w:rPr>
        <w:t xml:space="preserve"> </w:t>
      </w:r>
      <w:r w:rsidRPr="00450759">
        <w:rPr>
          <w:rFonts w:ascii="Times New Roman" w:hAnsi="Times New Roman" w:cs="Times New Roman"/>
          <w:sz w:val="24"/>
          <w:szCs w:val="24"/>
        </w:rPr>
        <w:t>spores,</w:t>
      </w:r>
      <w:r w:rsidRPr="00450759">
        <w:rPr>
          <w:rFonts w:ascii="Times New Roman" w:hAnsi="Times New Roman" w:cs="Times New Roman"/>
          <w:spacing w:val="-1"/>
          <w:sz w:val="24"/>
          <w:szCs w:val="24"/>
        </w:rPr>
        <w:t xml:space="preserve"> </w:t>
      </w:r>
      <w:r w:rsidRPr="00450759">
        <w:rPr>
          <w:rFonts w:ascii="Times New Roman" w:hAnsi="Times New Roman" w:cs="Times New Roman"/>
          <w:sz w:val="24"/>
          <w:szCs w:val="24"/>
        </w:rPr>
        <w:t>prions, and antibiotic</w:t>
      </w:r>
      <w:r w:rsidRPr="00450759">
        <w:rPr>
          <w:rFonts w:ascii="Times New Roman" w:hAnsi="Times New Roman" w:cs="Times New Roman"/>
          <w:spacing w:val="-3"/>
          <w:sz w:val="24"/>
          <w:szCs w:val="24"/>
        </w:rPr>
        <w:t xml:space="preserve"> </w:t>
      </w:r>
      <w:r w:rsidRPr="00450759">
        <w:rPr>
          <w:rFonts w:ascii="Times New Roman" w:hAnsi="Times New Roman" w:cs="Times New Roman"/>
          <w:sz w:val="24"/>
          <w:szCs w:val="24"/>
        </w:rPr>
        <w:t>resistance</w:t>
      </w:r>
      <w:r w:rsidRPr="00450759">
        <w:rPr>
          <w:rFonts w:ascii="Times New Roman" w:hAnsi="Times New Roman" w:cs="Times New Roman"/>
          <w:spacing w:val="-3"/>
          <w:sz w:val="24"/>
          <w:szCs w:val="24"/>
        </w:rPr>
        <w:t xml:space="preserve"> </w:t>
      </w:r>
      <w:r w:rsidRPr="00450759">
        <w:rPr>
          <w:rFonts w:ascii="Times New Roman" w:hAnsi="Times New Roman" w:cs="Times New Roman"/>
          <w:sz w:val="24"/>
          <w:szCs w:val="24"/>
        </w:rPr>
        <w:t>genes.</w:t>
      </w:r>
      <w:r>
        <w:rPr>
          <w:rFonts w:ascii="Times New Roman" w:hAnsi="Times New Roman" w:cs="Times New Roman"/>
          <w:sz w:val="24"/>
          <w:szCs w:val="24"/>
        </w:rPr>
        <w:t xml:space="preserve"> </w:t>
      </w:r>
      <w:r w:rsidRPr="00450759">
        <w:rPr>
          <w:rFonts w:ascii="Times New Roman" w:hAnsi="Times New Roman" w:cs="Times New Roman"/>
          <w:sz w:val="24"/>
          <w:szCs w:val="24"/>
        </w:rPr>
        <w:t>The methods for microbial risk assessment are quite different from those for chemical risk</w:t>
      </w:r>
      <w:r w:rsidRPr="00450759">
        <w:rPr>
          <w:rFonts w:ascii="Times New Roman" w:hAnsi="Times New Roman" w:cs="Times New Roman"/>
          <w:spacing w:val="1"/>
          <w:sz w:val="24"/>
          <w:szCs w:val="24"/>
        </w:rPr>
        <w:t xml:space="preserve"> </w:t>
      </w:r>
      <w:r w:rsidRPr="00450759">
        <w:rPr>
          <w:rFonts w:ascii="Times New Roman" w:hAnsi="Times New Roman" w:cs="Times New Roman"/>
          <w:sz w:val="24"/>
          <w:szCs w:val="24"/>
        </w:rPr>
        <w:t>assessment; in addition, pathogens in biosolids are currently regulated using operational standards rather than</w:t>
      </w:r>
      <w:r w:rsidRPr="00450759">
        <w:rPr>
          <w:rFonts w:ascii="Times New Roman" w:hAnsi="Times New Roman" w:cs="Times New Roman"/>
          <w:spacing w:val="1"/>
          <w:sz w:val="24"/>
          <w:szCs w:val="24"/>
        </w:rPr>
        <w:t xml:space="preserve"> </w:t>
      </w:r>
      <w:r w:rsidRPr="00450759">
        <w:rPr>
          <w:rFonts w:ascii="Times New Roman" w:hAnsi="Times New Roman" w:cs="Times New Roman"/>
          <w:sz w:val="24"/>
          <w:szCs w:val="24"/>
        </w:rPr>
        <w:t>concentration-based standards</w:t>
      </w:r>
    </w:p>
    <w:p w14:paraId="26F29F0B" w14:textId="77777777" w:rsidR="00173C25" w:rsidRPr="00450759" w:rsidRDefault="00173C25" w:rsidP="00173C25">
      <w:pPr>
        <w:spacing w:before="122"/>
        <w:ind w:right="216"/>
        <w:rPr>
          <w:rFonts w:ascii="Times New Roman" w:hAnsi="Times New Roman" w:cs="Times New Roman"/>
          <w:sz w:val="24"/>
          <w:szCs w:val="24"/>
        </w:rPr>
      </w:pPr>
      <w:r w:rsidRPr="00450759">
        <w:rPr>
          <w:rFonts w:ascii="Times New Roman" w:hAnsi="Times New Roman" w:cs="Times New Roman"/>
          <w:b/>
          <w:sz w:val="24"/>
          <w:szCs w:val="24"/>
        </w:rPr>
        <w:t xml:space="preserve">Chemical limitations: </w:t>
      </w:r>
      <w:r w:rsidRPr="00450759">
        <w:rPr>
          <w:rFonts w:ascii="Times New Roman" w:hAnsi="Times New Roman" w:cs="Times New Roman"/>
          <w:sz w:val="24"/>
          <w:szCs w:val="24"/>
        </w:rPr>
        <w:t xml:space="preserve">The chemical risk assessment algorithms in the </w:t>
      </w:r>
      <w:r>
        <w:rPr>
          <w:rFonts w:ascii="Times New Roman" w:hAnsi="Times New Roman" w:cs="Times New Roman"/>
          <w:sz w:val="24"/>
          <w:szCs w:val="24"/>
        </w:rPr>
        <w:t>BST</w:t>
      </w:r>
      <w:r w:rsidRPr="00450759">
        <w:rPr>
          <w:rFonts w:ascii="Times New Roman" w:hAnsi="Times New Roman" w:cs="Times New Roman"/>
          <w:sz w:val="24"/>
          <w:szCs w:val="24"/>
        </w:rPr>
        <w:t xml:space="preserve"> have certain</w:t>
      </w:r>
      <w:r w:rsidRPr="00450759">
        <w:rPr>
          <w:rFonts w:ascii="Times New Roman" w:hAnsi="Times New Roman" w:cs="Times New Roman"/>
          <w:spacing w:val="1"/>
          <w:sz w:val="24"/>
          <w:szCs w:val="24"/>
        </w:rPr>
        <w:t xml:space="preserve"> </w:t>
      </w:r>
      <w:r w:rsidRPr="00450759">
        <w:rPr>
          <w:rFonts w:ascii="Times New Roman" w:hAnsi="Times New Roman" w:cs="Times New Roman"/>
          <w:sz w:val="24"/>
          <w:szCs w:val="24"/>
        </w:rPr>
        <w:t>limitations. These include chemicals that cannot be appropriately modeled as well as chemicals that can be modeled</w:t>
      </w:r>
      <w:r>
        <w:rPr>
          <w:rFonts w:ascii="Times New Roman" w:hAnsi="Times New Roman" w:cs="Times New Roman"/>
          <w:sz w:val="24"/>
          <w:szCs w:val="24"/>
        </w:rPr>
        <w:t xml:space="preserve"> </w:t>
      </w:r>
      <w:r w:rsidRPr="00450759">
        <w:rPr>
          <w:rFonts w:ascii="Times New Roman" w:hAnsi="Times New Roman" w:cs="Times New Roman"/>
          <w:spacing w:val="-48"/>
          <w:sz w:val="24"/>
          <w:szCs w:val="24"/>
        </w:rPr>
        <w:t xml:space="preserve"> </w:t>
      </w:r>
      <w:r w:rsidRPr="00450759">
        <w:rPr>
          <w:rFonts w:ascii="Times New Roman" w:hAnsi="Times New Roman" w:cs="Times New Roman"/>
          <w:sz w:val="24"/>
          <w:szCs w:val="24"/>
        </w:rPr>
        <w:t>but may have</w:t>
      </w:r>
      <w:r w:rsidRPr="00450759">
        <w:rPr>
          <w:rFonts w:ascii="Times New Roman" w:hAnsi="Times New Roman" w:cs="Times New Roman"/>
          <w:spacing w:val="-3"/>
          <w:sz w:val="24"/>
          <w:szCs w:val="24"/>
        </w:rPr>
        <w:t xml:space="preserve"> </w:t>
      </w:r>
      <w:r w:rsidRPr="00450759">
        <w:rPr>
          <w:rFonts w:ascii="Times New Roman" w:hAnsi="Times New Roman" w:cs="Times New Roman"/>
          <w:sz w:val="24"/>
          <w:szCs w:val="24"/>
        </w:rPr>
        <w:t>greater</w:t>
      </w:r>
      <w:r w:rsidRPr="00450759">
        <w:rPr>
          <w:rFonts w:ascii="Times New Roman" w:hAnsi="Times New Roman" w:cs="Times New Roman"/>
          <w:spacing w:val="-2"/>
          <w:sz w:val="24"/>
          <w:szCs w:val="24"/>
        </w:rPr>
        <w:t xml:space="preserve"> </w:t>
      </w:r>
      <w:r w:rsidRPr="00450759">
        <w:rPr>
          <w:rFonts w:ascii="Times New Roman" w:hAnsi="Times New Roman" w:cs="Times New Roman"/>
          <w:sz w:val="24"/>
          <w:szCs w:val="24"/>
        </w:rPr>
        <w:t>uncertainty around the</w:t>
      </w:r>
      <w:r w:rsidRPr="00450759">
        <w:rPr>
          <w:rFonts w:ascii="Times New Roman" w:hAnsi="Times New Roman" w:cs="Times New Roman"/>
          <w:spacing w:val="-3"/>
          <w:sz w:val="24"/>
          <w:szCs w:val="24"/>
        </w:rPr>
        <w:t xml:space="preserve"> </w:t>
      </w:r>
      <w:r w:rsidRPr="00450759">
        <w:rPr>
          <w:rFonts w:ascii="Times New Roman" w:hAnsi="Times New Roman" w:cs="Times New Roman"/>
          <w:sz w:val="24"/>
          <w:szCs w:val="24"/>
        </w:rPr>
        <w:t>results</w:t>
      </w:r>
      <w:r>
        <w:rPr>
          <w:rFonts w:ascii="Times New Roman" w:hAnsi="Times New Roman" w:cs="Times New Roman"/>
          <w:sz w:val="24"/>
          <w:szCs w:val="24"/>
        </w:rPr>
        <w:t>. The</w:t>
      </w:r>
      <w:r w:rsidRPr="00450759">
        <w:rPr>
          <w:rFonts w:ascii="Times New Roman" w:hAnsi="Times New Roman" w:cs="Times New Roman"/>
          <w:sz w:val="24"/>
          <w:szCs w:val="24"/>
        </w:rPr>
        <w:t xml:space="preserve"> BST model algorithms do not simulate dioxin-like compounds or mercury speciation adequately and this tool should not be used for these compounds. </w:t>
      </w:r>
    </w:p>
    <w:p w14:paraId="44CC2F34" w14:textId="77777777" w:rsidR="00173C25" w:rsidRDefault="00173C25" w:rsidP="00173C25">
      <w:pPr>
        <w:pStyle w:val="ListParagraph"/>
        <w:numPr>
          <w:ilvl w:val="0"/>
          <w:numId w:val="21"/>
        </w:numPr>
        <w:spacing w:before="122"/>
        <w:ind w:right="216"/>
        <w:rPr>
          <w:szCs w:val="24"/>
        </w:rPr>
      </w:pPr>
      <w:r w:rsidRPr="00235449">
        <w:rPr>
          <w:b/>
          <w:szCs w:val="24"/>
        </w:rPr>
        <w:t>Dioxin-like</w:t>
      </w:r>
      <w:r w:rsidRPr="00235449">
        <w:rPr>
          <w:b/>
          <w:spacing w:val="-4"/>
          <w:szCs w:val="24"/>
        </w:rPr>
        <w:t xml:space="preserve"> </w:t>
      </w:r>
      <w:r w:rsidRPr="00235449">
        <w:rPr>
          <w:b/>
          <w:szCs w:val="24"/>
        </w:rPr>
        <w:t>compounds:</w:t>
      </w:r>
      <w:r w:rsidRPr="00235449">
        <w:rPr>
          <w:b/>
          <w:spacing w:val="-3"/>
          <w:szCs w:val="24"/>
        </w:rPr>
        <w:t xml:space="preserve"> </w:t>
      </w:r>
      <w:r w:rsidRPr="00235449">
        <w:rPr>
          <w:szCs w:val="24"/>
        </w:rPr>
        <w:t>The</w:t>
      </w:r>
      <w:r w:rsidRPr="00235449">
        <w:rPr>
          <w:spacing w:val="-4"/>
          <w:szCs w:val="24"/>
        </w:rPr>
        <w:t xml:space="preserve"> </w:t>
      </w:r>
      <w:r w:rsidRPr="00235449">
        <w:rPr>
          <w:szCs w:val="24"/>
        </w:rPr>
        <w:t>fate</w:t>
      </w:r>
      <w:r w:rsidRPr="00235449">
        <w:rPr>
          <w:spacing w:val="-4"/>
          <w:szCs w:val="24"/>
        </w:rPr>
        <w:t xml:space="preserve"> </w:t>
      </w:r>
      <w:r w:rsidRPr="00235449">
        <w:rPr>
          <w:szCs w:val="24"/>
        </w:rPr>
        <w:t>and</w:t>
      </w:r>
      <w:r w:rsidRPr="00235449">
        <w:rPr>
          <w:spacing w:val="-1"/>
          <w:szCs w:val="24"/>
        </w:rPr>
        <w:t xml:space="preserve"> </w:t>
      </w:r>
      <w:r w:rsidRPr="00235449">
        <w:rPr>
          <w:szCs w:val="24"/>
        </w:rPr>
        <w:t>transport of</w:t>
      </w:r>
      <w:r w:rsidRPr="00235449">
        <w:rPr>
          <w:spacing w:val="-3"/>
          <w:szCs w:val="24"/>
        </w:rPr>
        <w:t xml:space="preserve"> </w:t>
      </w:r>
      <w:r w:rsidRPr="00235449">
        <w:rPr>
          <w:szCs w:val="24"/>
        </w:rPr>
        <w:t>these</w:t>
      </w:r>
      <w:r w:rsidRPr="00235449">
        <w:rPr>
          <w:spacing w:val="-3"/>
          <w:szCs w:val="24"/>
        </w:rPr>
        <w:t xml:space="preserve"> </w:t>
      </w:r>
      <w:r w:rsidRPr="00235449">
        <w:rPr>
          <w:szCs w:val="24"/>
        </w:rPr>
        <w:t>types</w:t>
      </w:r>
      <w:r w:rsidRPr="00235449">
        <w:rPr>
          <w:spacing w:val="-1"/>
          <w:szCs w:val="24"/>
        </w:rPr>
        <w:t xml:space="preserve"> </w:t>
      </w:r>
      <w:r w:rsidRPr="00235449">
        <w:rPr>
          <w:szCs w:val="24"/>
        </w:rPr>
        <w:t>of</w:t>
      </w:r>
      <w:r w:rsidRPr="00235449">
        <w:rPr>
          <w:spacing w:val="-3"/>
          <w:szCs w:val="24"/>
        </w:rPr>
        <w:t xml:space="preserve"> </w:t>
      </w:r>
      <w:r w:rsidRPr="00235449">
        <w:rPr>
          <w:szCs w:val="24"/>
        </w:rPr>
        <w:t>chemicals is</w:t>
      </w:r>
      <w:r w:rsidRPr="00235449">
        <w:rPr>
          <w:spacing w:val="-7"/>
          <w:szCs w:val="24"/>
        </w:rPr>
        <w:t xml:space="preserve"> </w:t>
      </w:r>
      <w:r w:rsidRPr="00235449">
        <w:rPr>
          <w:szCs w:val="24"/>
        </w:rPr>
        <w:t>typically</w:t>
      </w:r>
      <w:r w:rsidRPr="00235449">
        <w:rPr>
          <w:spacing w:val="-8"/>
          <w:szCs w:val="24"/>
        </w:rPr>
        <w:t xml:space="preserve"> </w:t>
      </w:r>
      <w:r w:rsidRPr="00235449">
        <w:rPr>
          <w:szCs w:val="24"/>
        </w:rPr>
        <w:t>modeled</w:t>
      </w:r>
      <w:r w:rsidRPr="00235449">
        <w:rPr>
          <w:spacing w:val="-1"/>
          <w:szCs w:val="24"/>
        </w:rPr>
        <w:t xml:space="preserve"> </w:t>
      </w:r>
      <w:r w:rsidRPr="00235449">
        <w:rPr>
          <w:szCs w:val="24"/>
        </w:rPr>
        <w:t>somewhat</w:t>
      </w:r>
      <w:r w:rsidRPr="00235449">
        <w:rPr>
          <w:spacing w:val="-47"/>
          <w:szCs w:val="24"/>
        </w:rPr>
        <w:t xml:space="preserve"> </w:t>
      </w:r>
      <w:r w:rsidRPr="00235449">
        <w:rPr>
          <w:szCs w:val="24"/>
        </w:rPr>
        <w:t>differently from other organics. For example, estimating fish concentration from surface water</w:t>
      </w:r>
      <w:r w:rsidRPr="00235449">
        <w:rPr>
          <w:spacing w:val="1"/>
          <w:szCs w:val="24"/>
        </w:rPr>
        <w:t xml:space="preserve"> </w:t>
      </w:r>
      <w:r w:rsidRPr="00235449">
        <w:rPr>
          <w:szCs w:val="24"/>
        </w:rPr>
        <w:t xml:space="preserve">concentration for most pollutants </w:t>
      </w:r>
      <w:bookmarkStart w:id="133" w:name="_Hlk99532707"/>
      <w:r w:rsidRPr="00235449">
        <w:rPr>
          <w:szCs w:val="24"/>
        </w:rPr>
        <w:t>involves applying a bio</w:t>
      </w:r>
      <w:r>
        <w:rPr>
          <w:szCs w:val="24"/>
        </w:rPr>
        <w:t>accumulation</w:t>
      </w:r>
      <w:r w:rsidRPr="00235449">
        <w:rPr>
          <w:szCs w:val="24"/>
        </w:rPr>
        <w:t xml:space="preserve"> factor</w:t>
      </w:r>
      <w:r>
        <w:rPr>
          <w:szCs w:val="24"/>
        </w:rPr>
        <w:t>/bioconcentration factor (BAF/BCF)</w:t>
      </w:r>
      <w:r w:rsidRPr="00235449">
        <w:rPr>
          <w:szCs w:val="24"/>
        </w:rPr>
        <w:t xml:space="preserve"> to the dissolved water</w:t>
      </w:r>
      <w:r w:rsidRPr="00235449">
        <w:rPr>
          <w:spacing w:val="1"/>
          <w:szCs w:val="24"/>
        </w:rPr>
        <w:t xml:space="preserve"> </w:t>
      </w:r>
      <w:r w:rsidRPr="00235449">
        <w:rPr>
          <w:szCs w:val="24"/>
        </w:rPr>
        <w:t xml:space="preserve">concentration. </w:t>
      </w:r>
      <w:r>
        <w:t>A tiered approach is considered when using measured or modeled bioaccumulation, bioconcentration, biomagnification, and biotransfer factors.</w:t>
      </w:r>
      <w:r w:rsidDel="009050FB">
        <w:t xml:space="preserve"> </w:t>
      </w:r>
      <w:r w:rsidRPr="00235449">
        <w:rPr>
          <w:szCs w:val="24"/>
        </w:rPr>
        <w:t xml:space="preserve">For dioxin-like compounds, it involves applying a biota-sediment accumulation factor </w:t>
      </w:r>
      <w:bookmarkEnd w:id="133"/>
      <w:r w:rsidRPr="00235449">
        <w:rPr>
          <w:szCs w:val="24"/>
        </w:rPr>
        <w:t>to the</w:t>
      </w:r>
      <w:r w:rsidRPr="00235449">
        <w:rPr>
          <w:spacing w:val="-47"/>
          <w:szCs w:val="24"/>
        </w:rPr>
        <w:t xml:space="preserve"> </w:t>
      </w:r>
      <w:r w:rsidRPr="00235449">
        <w:rPr>
          <w:szCs w:val="24"/>
        </w:rPr>
        <w:t>total (not just dissolved) water column concentrations. Another example is how risks are calculated:</w:t>
      </w:r>
      <w:r w:rsidRPr="00235449">
        <w:rPr>
          <w:spacing w:val="1"/>
          <w:szCs w:val="24"/>
        </w:rPr>
        <w:t xml:space="preserve"> </w:t>
      </w:r>
      <w:r w:rsidRPr="00235449">
        <w:rPr>
          <w:szCs w:val="24"/>
        </w:rPr>
        <w:t>typically risks for dioxin-like compounds are estimated collectively using a single toxicity value (for</w:t>
      </w:r>
      <w:r w:rsidRPr="00235449">
        <w:rPr>
          <w:spacing w:val="1"/>
          <w:szCs w:val="24"/>
        </w:rPr>
        <w:t xml:space="preserve"> </w:t>
      </w:r>
      <w:r w:rsidRPr="00235449">
        <w:rPr>
          <w:szCs w:val="24"/>
        </w:rPr>
        <w:t>2,3,7,8-tetradibenzo-p-dioxin) and a series of toxicity equivalence factors that express the concentrations</w:t>
      </w:r>
      <w:r w:rsidRPr="00235449">
        <w:rPr>
          <w:spacing w:val="1"/>
          <w:szCs w:val="24"/>
        </w:rPr>
        <w:t xml:space="preserve"> </w:t>
      </w:r>
      <w:r w:rsidRPr="00235449">
        <w:rPr>
          <w:szCs w:val="24"/>
        </w:rPr>
        <w:t>for the other congeners in terms of equivalent 2,3,7,8-TCDD concentration, given the relative toxicity</w:t>
      </w:r>
      <w:r w:rsidRPr="00235449">
        <w:rPr>
          <w:spacing w:val="1"/>
          <w:szCs w:val="24"/>
        </w:rPr>
        <w:t xml:space="preserve"> </w:t>
      </w:r>
      <w:r w:rsidRPr="00235449">
        <w:rPr>
          <w:szCs w:val="24"/>
        </w:rPr>
        <w:t xml:space="preserve">values. The </w:t>
      </w:r>
      <w:r>
        <w:rPr>
          <w:szCs w:val="24"/>
        </w:rPr>
        <w:t>BST</w:t>
      </w:r>
      <w:r w:rsidRPr="00235449">
        <w:rPr>
          <w:szCs w:val="24"/>
        </w:rPr>
        <w:t xml:space="preserve"> does not contain the appropriate algorithms or data to support these</w:t>
      </w:r>
      <w:r w:rsidRPr="00235449">
        <w:rPr>
          <w:spacing w:val="1"/>
          <w:szCs w:val="24"/>
        </w:rPr>
        <w:t xml:space="preserve"> </w:t>
      </w:r>
      <w:r w:rsidRPr="00235449">
        <w:rPr>
          <w:szCs w:val="24"/>
        </w:rPr>
        <w:t>calculations, and dioxin-like compounds in biosolids have already been evaluated in greater detail than is</w:t>
      </w:r>
      <w:r w:rsidRPr="00235449">
        <w:rPr>
          <w:spacing w:val="1"/>
          <w:szCs w:val="24"/>
        </w:rPr>
        <w:t xml:space="preserve"> </w:t>
      </w:r>
      <w:r w:rsidRPr="00235449">
        <w:rPr>
          <w:szCs w:val="24"/>
        </w:rPr>
        <w:t>reflected</w:t>
      </w:r>
      <w:r w:rsidRPr="00235449">
        <w:rPr>
          <w:spacing w:val="-1"/>
          <w:szCs w:val="24"/>
        </w:rPr>
        <w:t xml:space="preserve"> </w:t>
      </w:r>
      <w:r w:rsidRPr="00235449">
        <w:rPr>
          <w:szCs w:val="24"/>
        </w:rPr>
        <w:t>by the</w:t>
      </w:r>
      <w:r w:rsidRPr="00235449">
        <w:rPr>
          <w:spacing w:val="-3"/>
          <w:szCs w:val="24"/>
        </w:rPr>
        <w:t xml:space="preserve"> </w:t>
      </w:r>
      <w:r w:rsidRPr="00235449">
        <w:rPr>
          <w:szCs w:val="24"/>
        </w:rPr>
        <w:t>tool</w:t>
      </w:r>
      <w:r w:rsidRPr="00235449">
        <w:rPr>
          <w:spacing w:val="1"/>
          <w:szCs w:val="24"/>
        </w:rPr>
        <w:t xml:space="preserve"> </w:t>
      </w:r>
      <w:r w:rsidRPr="00235449">
        <w:rPr>
          <w:szCs w:val="24"/>
        </w:rPr>
        <w:t>(U.S. EPA, 2003a).</w:t>
      </w:r>
    </w:p>
    <w:p w14:paraId="683BBF4C" w14:textId="5A8F0D8B" w:rsidR="00173C25" w:rsidRPr="00235449" w:rsidRDefault="00173C25" w:rsidP="00173C25">
      <w:pPr>
        <w:pStyle w:val="ListParagraph"/>
        <w:numPr>
          <w:ilvl w:val="0"/>
          <w:numId w:val="21"/>
        </w:numPr>
        <w:spacing w:before="122"/>
        <w:ind w:right="216"/>
        <w:rPr>
          <w:szCs w:val="24"/>
        </w:rPr>
      </w:pPr>
      <w:bookmarkStart w:id="134" w:name="_Hlk99532722"/>
      <w:r w:rsidRPr="00235449">
        <w:rPr>
          <w:b/>
          <w:szCs w:val="24"/>
        </w:rPr>
        <w:t>Ionizable</w:t>
      </w:r>
      <w:r w:rsidRPr="00235449">
        <w:rPr>
          <w:b/>
          <w:spacing w:val="-6"/>
          <w:szCs w:val="24"/>
        </w:rPr>
        <w:t xml:space="preserve"> </w:t>
      </w:r>
      <w:r w:rsidRPr="00235449">
        <w:rPr>
          <w:b/>
          <w:szCs w:val="24"/>
        </w:rPr>
        <w:t>compounds:</w:t>
      </w:r>
      <w:r w:rsidRPr="00235449">
        <w:rPr>
          <w:b/>
          <w:spacing w:val="-6"/>
          <w:szCs w:val="24"/>
        </w:rPr>
        <w:t xml:space="preserve"> </w:t>
      </w:r>
      <w:bookmarkEnd w:id="134"/>
      <w:r w:rsidRPr="00235449">
        <w:rPr>
          <w:szCs w:val="24"/>
        </w:rPr>
        <w:t>The</w:t>
      </w:r>
      <w:r w:rsidRPr="00235449">
        <w:rPr>
          <w:spacing w:val="-6"/>
          <w:szCs w:val="24"/>
        </w:rPr>
        <w:t xml:space="preserve"> </w:t>
      </w:r>
      <w:r>
        <w:rPr>
          <w:szCs w:val="24"/>
        </w:rPr>
        <w:t>BST</w:t>
      </w:r>
      <w:r w:rsidRPr="00235449">
        <w:rPr>
          <w:spacing w:val="-1"/>
          <w:szCs w:val="24"/>
        </w:rPr>
        <w:t xml:space="preserve"> </w:t>
      </w:r>
      <w:r w:rsidRPr="00235449">
        <w:rPr>
          <w:szCs w:val="24"/>
        </w:rPr>
        <w:t>uses</w:t>
      </w:r>
      <w:r w:rsidRPr="00235449">
        <w:rPr>
          <w:spacing w:val="-3"/>
          <w:szCs w:val="24"/>
        </w:rPr>
        <w:t xml:space="preserve"> </w:t>
      </w:r>
      <w:r w:rsidRPr="00235449">
        <w:rPr>
          <w:szCs w:val="24"/>
        </w:rPr>
        <w:t>certain</w:t>
      </w:r>
      <w:r w:rsidRPr="00235449">
        <w:rPr>
          <w:spacing w:val="-3"/>
          <w:szCs w:val="24"/>
        </w:rPr>
        <w:t xml:space="preserve"> </w:t>
      </w:r>
      <w:r w:rsidRPr="00235449">
        <w:rPr>
          <w:szCs w:val="24"/>
        </w:rPr>
        <w:t>empirical</w:t>
      </w:r>
      <w:r w:rsidRPr="00235449">
        <w:rPr>
          <w:spacing w:val="-1"/>
          <w:szCs w:val="24"/>
        </w:rPr>
        <w:t xml:space="preserve"> </w:t>
      </w:r>
      <w:r w:rsidRPr="00235449">
        <w:rPr>
          <w:szCs w:val="24"/>
        </w:rPr>
        <w:t>relationships</w:t>
      </w:r>
      <w:r w:rsidRPr="00235449">
        <w:rPr>
          <w:spacing w:val="-2"/>
          <w:szCs w:val="24"/>
        </w:rPr>
        <w:t xml:space="preserve"> </w:t>
      </w:r>
      <w:r w:rsidRPr="00235449">
        <w:rPr>
          <w:szCs w:val="24"/>
        </w:rPr>
        <w:t>to</w:t>
      </w:r>
      <w:r w:rsidRPr="00235449">
        <w:rPr>
          <w:spacing w:val="-3"/>
          <w:szCs w:val="24"/>
        </w:rPr>
        <w:t xml:space="preserve"> </w:t>
      </w:r>
      <w:r w:rsidRPr="00235449">
        <w:rPr>
          <w:szCs w:val="24"/>
        </w:rPr>
        <w:t>estimate</w:t>
      </w:r>
      <w:r w:rsidRPr="00235449">
        <w:rPr>
          <w:spacing w:val="-6"/>
          <w:szCs w:val="24"/>
        </w:rPr>
        <w:t xml:space="preserve"> </w:t>
      </w:r>
      <w:r w:rsidRPr="00235449">
        <w:rPr>
          <w:szCs w:val="24"/>
        </w:rPr>
        <w:t>some</w:t>
      </w:r>
      <w:r w:rsidRPr="00235449">
        <w:rPr>
          <w:spacing w:val="-7"/>
          <w:szCs w:val="24"/>
        </w:rPr>
        <w:t xml:space="preserve"> </w:t>
      </w:r>
      <w:r w:rsidRPr="00235449">
        <w:rPr>
          <w:szCs w:val="24"/>
        </w:rPr>
        <w:t>chemical</w:t>
      </w:r>
      <w:r w:rsidRPr="00235449">
        <w:rPr>
          <w:spacing w:val="-2"/>
          <w:szCs w:val="24"/>
        </w:rPr>
        <w:t xml:space="preserve"> </w:t>
      </w:r>
      <w:r w:rsidRPr="00235449">
        <w:rPr>
          <w:szCs w:val="24"/>
        </w:rPr>
        <w:t>properties</w:t>
      </w:r>
      <w:r w:rsidRPr="00235449">
        <w:rPr>
          <w:spacing w:val="-47"/>
          <w:szCs w:val="24"/>
        </w:rPr>
        <w:t xml:space="preserve"> </w:t>
      </w:r>
      <w:r w:rsidRPr="00235449">
        <w:rPr>
          <w:szCs w:val="24"/>
        </w:rPr>
        <w:t>for organics (e.g., K</w:t>
      </w:r>
      <w:r w:rsidRPr="00235449">
        <w:rPr>
          <w:szCs w:val="24"/>
          <w:vertAlign w:val="subscript"/>
        </w:rPr>
        <w:t>oc</w:t>
      </w:r>
      <w:r w:rsidRPr="00235449">
        <w:rPr>
          <w:szCs w:val="24"/>
        </w:rPr>
        <w:t>, various terrestrial bioconcentration factors)</w:t>
      </w:r>
      <w:r>
        <w:rPr>
          <w:szCs w:val="24"/>
        </w:rPr>
        <w:t>;</w:t>
      </w:r>
      <w:r w:rsidRPr="00235449">
        <w:rPr>
          <w:szCs w:val="24"/>
        </w:rPr>
        <w:t xml:space="preserve"> these relationships introduce uncertainty for some categories of chemicals, </w:t>
      </w:r>
      <w:bookmarkStart w:id="135" w:name="_Hlk99532746"/>
      <w:r w:rsidRPr="00235449">
        <w:rPr>
          <w:szCs w:val="24"/>
        </w:rPr>
        <w:t xml:space="preserve">such as ionizable compounds. Although the </w:t>
      </w:r>
      <w:r>
        <w:rPr>
          <w:szCs w:val="24"/>
        </w:rPr>
        <w:t>BST</w:t>
      </w:r>
      <w:r w:rsidRPr="00235449">
        <w:rPr>
          <w:szCs w:val="24"/>
        </w:rPr>
        <w:t xml:space="preserve"> </w:t>
      </w:r>
      <w:r>
        <w:rPr>
          <w:szCs w:val="24"/>
        </w:rPr>
        <w:t>may be parameterized with</w:t>
      </w:r>
      <w:r w:rsidRPr="00235449">
        <w:rPr>
          <w:szCs w:val="24"/>
        </w:rPr>
        <w:t xml:space="preserve"> some of these</w:t>
      </w:r>
      <w:r w:rsidRPr="00235449">
        <w:rPr>
          <w:spacing w:val="1"/>
          <w:szCs w:val="24"/>
        </w:rPr>
        <w:t xml:space="preserve"> </w:t>
      </w:r>
      <w:r w:rsidRPr="00235449">
        <w:rPr>
          <w:szCs w:val="24"/>
        </w:rPr>
        <w:t>chemicals, and can be used to model them, there is greater uncertainty associated with the results</w:t>
      </w:r>
      <w:bookmarkEnd w:id="135"/>
      <w:r w:rsidRPr="00235449">
        <w:rPr>
          <w:szCs w:val="24"/>
        </w:rPr>
        <w:t>. EPA</w:t>
      </w:r>
      <w:r w:rsidRPr="00235449">
        <w:rPr>
          <w:spacing w:val="1"/>
          <w:szCs w:val="24"/>
        </w:rPr>
        <w:t xml:space="preserve"> </w:t>
      </w:r>
      <w:r w:rsidRPr="00235449">
        <w:rPr>
          <w:szCs w:val="24"/>
        </w:rPr>
        <w:t xml:space="preserve">encourages </w:t>
      </w:r>
      <w:r w:rsidR="00F65FC4">
        <w:rPr>
          <w:szCs w:val="24"/>
        </w:rPr>
        <w:t>you</w:t>
      </w:r>
      <w:r w:rsidRPr="00235449">
        <w:rPr>
          <w:szCs w:val="24"/>
        </w:rPr>
        <w:t xml:space="preserve"> to update these estimated parameter values with reported data from peer-reviewed</w:t>
      </w:r>
      <w:r w:rsidRPr="00235449">
        <w:rPr>
          <w:spacing w:val="1"/>
          <w:szCs w:val="24"/>
        </w:rPr>
        <w:t xml:space="preserve"> </w:t>
      </w:r>
      <w:r w:rsidRPr="00235449">
        <w:rPr>
          <w:szCs w:val="24"/>
        </w:rPr>
        <w:t>literature</w:t>
      </w:r>
      <w:r w:rsidRPr="00235449">
        <w:rPr>
          <w:spacing w:val="-5"/>
          <w:szCs w:val="24"/>
        </w:rPr>
        <w:t xml:space="preserve"> </w:t>
      </w:r>
      <w:r w:rsidRPr="00235449">
        <w:rPr>
          <w:szCs w:val="24"/>
        </w:rPr>
        <w:t>when available</w:t>
      </w:r>
      <w:r w:rsidRPr="00235449">
        <w:rPr>
          <w:spacing w:val="-3"/>
          <w:szCs w:val="24"/>
        </w:rPr>
        <w:t xml:space="preserve"> </w:t>
      </w:r>
      <w:r w:rsidRPr="00235449">
        <w:rPr>
          <w:szCs w:val="24"/>
        </w:rPr>
        <w:t>to reduce</w:t>
      </w:r>
      <w:r w:rsidRPr="00235449">
        <w:rPr>
          <w:spacing w:val="-3"/>
          <w:szCs w:val="24"/>
        </w:rPr>
        <w:t xml:space="preserve"> </w:t>
      </w:r>
      <w:r w:rsidRPr="00235449">
        <w:rPr>
          <w:szCs w:val="24"/>
        </w:rPr>
        <w:t xml:space="preserve">uncertainties. </w:t>
      </w:r>
    </w:p>
    <w:bookmarkEnd w:id="132"/>
    <w:p w14:paraId="5726A58B" w14:textId="3D077619" w:rsidR="00173C25" w:rsidRPr="00450759" w:rsidRDefault="00173C25" w:rsidP="00173C25">
      <w:pPr>
        <w:spacing w:before="124"/>
        <w:ind w:right="280"/>
        <w:rPr>
          <w:rFonts w:ascii="Times New Roman" w:hAnsi="Times New Roman" w:cs="Times New Roman"/>
          <w:sz w:val="24"/>
          <w:szCs w:val="24"/>
        </w:rPr>
      </w:pPr>
      <w:r w:rsidRPr="00450759">
        <w:rPr>
          <w:rFonts w:ascii="Times New Roman" w:hAnsi="Times New Roman" w:cs="Times New Roman"/>
          <w:b/>
          <w:sz w:val="24"/>
          <w:szCs w:val="24"/>
        </w:rPr>
        <w:lastRenderedPageBreak/>
        <w:t xml:space="preserve">Precursors and transformation products: </w:t>
      </w:r>
      <w:r w:rsidRPr="00450759">
        <w:rPr>
          <w:rFonts w:ascii="Times New Roman" w:hAnsi="Times New Roman" w:cs="Times New Roman"/>
          <w:sz w:val="24"/>
          <w:szCs w:val="24"/>
        </w:rPr>
        <w:t>The Tool cannot simulate chemical transformation to evaluate</w:t>
      </w:r>
      <w:r w:rsidRPr="00450759">
        <w:rPr>
          <w:rFonts w:ascii="Times New Roman" w:hAnsi="Times New Roman" w:cs="Times New Roman"/>
          <w:spacing w:val="1"/>
          <w:sz w:val="24"/>
          <w:szCs w:val="24"/>
        </w:rPr>
        <w:t xml:space="preserve"> </w:t>
      </w:r>
      <w:r w:rsidRPr="00450759">
        <w:rPr>
          <w:rFonts w:ascii="Times New Roman" w:hAnsi="Times New Roman" w:cs="Times New Roman"/>
          <w:sz w:val="24"/>
          <w:szCs w:val="24"/>
        </w:rPr>
        <w:t xml:space="preserve">formation of chemicals from precursors or breakdown of chemicals to more toxic daughter products. However, </w:t>
      </w:r>
      <w:r w:rsidR="001A3062">
        <w:rPr>
          <w:rFonts w:ascii="Times New Roman" w:hAnsi="Times New Roman" w:cs="Times New Roman"/>
          <w:sz w:val="24"/>
          <w:szCs w:val="24"/>
        </w:rPr>
        <w:t>you</w:t>
      </w:r>
      <w:r w:rsidRPr="00450759">
        <w:rPr>
          <w:rFonts w:ascii="Times New Roman" w:hAnsi="Times New Roman" w:cs="Times New Roman"/>
          <w:spacing w:val="-3"/>
          <w:sz w:val="24"/>
          <w:szCs w:val="24"/>
        </w:rPr>
        <w:t xml:space="preserve"> </w:t>
      </w:r>
      <w:r w:rsidRPr="00450759">
        <w:rPr>
          <w:rFonts w:ascii="Times New Roman" w:hAnsi="Times New Roman" w:cs="Times New Roman"/>
          <w:sz w:val="24"/>
          <w:szCs w:val="24"/>
        </w:rPr>
        <w:t>can add chemicals</w:t>
      </w:r>
      <w:r w:rsidR="001A3062">
        <w:rPr>
          <w:rFonts w:ascii="Times New Roman" w:hAnsi="Times New Roman" w:cs="Times New Roman"/>
          <w:sz w:val="24"/>
          <w:szCs w:val="24"/>
        </w:rPr>
        <w:t>,</w:t>
      </w:r>
      <w:r w:rsidRPr="00450759">
        <w:rPr>
          <w:rFonts w:ascii="Times New Roman" w:hAnsi="Times New Roman" w:cs="Times New Roman"/>
          <w:spacing w:val="1"/>
          <w:sz w:val="24"/>
          <w:szCs w:val="24"/>
        </w:rPr>
        <w:t xml:space="preserve"> </w:t>
      </w:r>
      <w:r w:rsidRPr="00450759">
        <w:rPr>
          <w:rFonts w:ascii="Times New Roman" w:hAnsi="Times New Roman" w:cs="Times New Roman"/>
          <w:sz w:val="24"/>
          <w:szCs w:val="24"/>
        </w:rPr>
        <w:t>providing the</w:t>
      </w:r>
      <w:r w:rsidRPr="00450759">
        <w:rPr>
          <w:rFonts w:ascii="Times New Roman" w:hAnsi="Times New Roman" w:cs="Times New Roman"/>
          <w:spacing w:val="-3"/>
          <w:sz w:val="24"/>
          <w:szCs w:val="24"/>
        </w:rPr>
        <w:t xml:space="preserve"> </w:t>
      </w:r>
      <w:r w:rsidRPr="00450759">
        <w:rPr>
          <w:rFonts w:ascii="Times New Roman" w:hAnsi="Times New Roman" w:cs="Times New Roman"/>
          <w:sz w:val="24"/>
          <w:szCs w:val="24"/>
        </w:rPr>
        <w:t>ability</w:t>
      </w:r>
      <w:r w:rsidRPr="00450759">
        <w:rPr>
          <w:rFonts w:ascii="Times New Roman" w:hAnsi="Times New Roman" w:cs="Times New Roman"/>
          <w:spacing w:val="-7"/>
          <w:sz w:val="24"/>
          <w:szCs w:val="24"/>
        </w:rPr>
        <w:t xml:space="preserve"> </w:t>
      </w:r>
      <w:r w:rsidRPr="00450759">
        <w:rPr>
          <w:rFonts w:ascii="Times New Roman" w:hAnsi="Times New Roman" w:cs="Times New Roman"/>
          <w:sz w:val="24"/>
          <w:szCs w:val="24"/>
        </w:rPr>
        <w:t>to</w:t>
      </w:r>
      <w:r w:rsidRPr="00450759">
        <w:rPr>
          <w:rFonts w:ascii="Times New Roman" w:hAnsi="Times New Roman" w:cs="Times New Roman"/>
          <w:spacing w:val="-1"/>
          <w:sz w:val="24"/>
          <w:szCs w:val="24"/>
        </w:rPr>
        <w:t xml:space="preserve"> </w:t>
      </w:r>
      <w:r w:rsidRPr="00450759">
        <w:rPr>
          <w:rFonts w:ascii="Times New Roman" w:hAnsi="Times New Roman" w:cs="Times New Roman"/>
          <w:sz w:val="24"/>
          <w:szCs w:val="24"/>
        </w:rPr>
        <w:t>model</w:t>
      </w:r>
      <w:r w:rsidRPr="00450759">
        <w:rPr>
          <w:rFonts w:ascii="Times New Roman" w:hAnsi="Times New Roman" w:cs="Times New Roman"/>
          <w:spacing w:val="1"/>
          <w:sz w:val="24"/>
          <w:szCs w:val="24"/>
        </w:rPr>
        <w:t xml:space="preserve"> </w:t>
      </w:r>
      <w:r w:rsidRPr="00450759">
        <w:rPr>
          <w:rFonts w:ascii="Times New Roman" w:hAnsi="Times New Roman" w:cs="Times New Roman"/>
          <w:sz w:val="24"/>
          <w:szCs w:val="24"/>
        </w:rPr>
        <w:t>the</w:t>
      </w:r>
      <w:r w:rsidRPr="00450759">
        <w:rPr>
          <w:rFonts w:ascii="Times New Roman" w:hAnsi="Times New Roman" w:cs="Times New Roman"/>
          <w:spacing w:val="-3"/>
          <w:sz w:val="24"/>
          <w:szCs w:val="24"/>
        </w:rPr>
        <w:t xml:space="preserve"> </w:t>
      </w:r>
      <w:r w:rsidRPr="00450759">
        <w:rPr>
          <w:rFonts w:ascii="Times New Roman" w:hAnsi="Times New Roman" w:cs="Times New Roman"/>
          <w:sz w:val="24"/>
          <w:szCs w:val="24"/>
        </w:rPr>
        <w:t>resulting products.</w:t>
      </w:r>
    </w:p>
    <w:p w14:paraId="13410088" w14:textId="0009B74F" w:rsidR="00173C25" w:rsidRDefault="00173C25">
      <w:pPr>
        <w:rPr>
          <w:rFonts w:ascii="Arial" w:eastAsia="Times New Roman" w:hAnsi="Arial" w:cs="Times New Roman"/>
          <w:b/>
          <w:bCs/>
          <w:color w:val="1F3864" w:themeColor="accent1" w:themeShade="80"/>
          <w:sz w:val="32"/>
          <w:szCs w:val="32"/>
          <w:lang w:val="en-CA"/>
        </w:rPr>
      </w:pPr>
      <w:r>
        <w:br w:type="page"/>
      </w:r>
    </w:p>
    <w:p w14:paraId="0FC9F8F7" w14:textId="77777777" w:rsidR="00173C25" w:rsidRDefault="00173C25" w:rsidP="00911CBD">
      <w:pPr>
        <w:pStyle w:val="Heading1"/>
      </w:pPr>
    </w:p>
    <w:p w14:paraId="6532B0C4" w14:textId="4D29C6D8" w:rsidR="000F6815" w:rsidRPr="00450759" w:rsidRDefault="00173C25" w:rsidP="00911CBD">
      <w:pPr>
        <w:pStyle w:val="Heading1"/>
      </w:pPr>
      <w:bookmarkStart w:id="136" w:name="_Toc128041946"/>
      <w:r>
        <w:t>7</w:t>
      </w:r>
      <w:r w:rsidR="000F6815" w:rsidRPr="00450759">
        <w:t>.</w:t>
      </w:r>
      <w:r w:rsidR="000F6815" w:rsidRPr="00450759">
        <w:tab/>
      </w:r>
      <w:r w:rsidR="000F6815" w:rsidRPr="00E5032D">
        <w:t>References</w:t>
      </w:r>
      <w:bookmarkEnd w:id="127"/>
      <w:bookmarkEnd w:id="136"/>
      <w:r w:rsidR="000F6815" w:rsidRPr="00450759">
        <w:t xml:space="preserve"> </w:t>
      </w:r>
    </w:p>
    <w:p w14:paraId="64B42AEA" w14:textId="77777777" w:rsidR="000F6815" w:rsidRPr="00286D3B" w:rsidRDefault="000F6815" w:rsidP="000F6815">
      <w:pPr>
        <w:rPr>
          <w:rFonts w:ascii="Times New Roman" w:hAnsi="Times New Roman" w:cs="Times New Roman"/>
          <w:i/>
          <w:sz w:val="24"/>
          <w:szCs w:val="24"/>
        </w:rPr>
      </w:pPr>
      <w:bookmarkStart w:id="137" w:name="_Hlk86842633"/>
      <w:r w:rsidRPr="00286D3B">
        <w:rPr>
          <w:rFonts w:ascii="Times New Roman" w:hAnsi="Times New Roman" w:cs="Times New Roman"/>
          <w:i/>
          <w:sz w:val="24"/>
          <w:szCs w:val="24"/>
        </w:rPr>
        <w:t>[Note that the appendices have individual reference lists; this list applies to the main User’s Guide.]</w:t>
      </w:r>
    </w:p>
    <w:p w14:paraId="6EDF396F" w14:textId="77777777" w:rsidR="000F6815" w:rsidRPr="00286D3B" w:rsidRDefault="000F6815" w:rsidP="000F6815">
      <w:pPr>
        <w:pStyle w:val="References"/>
        <w:rPr>
          <w:szCs w:val="24"/>
          <w:highlight w:val="yellow"/>
        </w:rPr>
      </w:pPr>
      <w:r w:rsidRPr="00286D3B">
        <w:rPr>
          <w:szCs w:val="24"/>
        </w:rPr>
        <w:t xml:space="preserve">U.S. EPA (Environmental Protection Agency). 1992. </w:t>
      </w:r>
      <w:r w:rsidRPr="00286D3B">
        <w:rPr>
          <w:i/>
          <w:iCs/>
          <w:szCs w:val="24"/>
        </w:rPr>
        <w:t>Technical Support Document for Land Application of Sewage Sludge.</w:t>
      </w:r>
      <w:r w:rsidRPr="00286D3B">
        <w:rPr>
          <w:szCs w:val="24"/>
        </w:rPr>
        <w:t xml:space="preserve"> Volume I. EPA 822/R-93-001a. Office of Water, Washington, DC. November.</w:t>
      </w:r>
    </w:p>
    <w:p w14:paraId="04AB3CC8" w14:textId="77777777" w:rsidR="000F6815" w:rsidRPr="00286D3B" w:rsidRDefault="000F6815" w:rsidP="000F6815">
      <w:pPr>
        <w:pStyle w:val="References"/>
        <w:rPr>
          <w:szCs w:val="24"/>
        </w:rPr>
      </w:pPr>
      <w:r w:rsidRPr="00286D3B">
        <w:rPr>
          <w:szCs w:val="24"/>
        </w:rPr>
        <w:t xml:space="preserve">U.S. EPA (Environmental Protection Agency). 2003a. </w:t>
      </w:r>
      <w:r w:rsidRPr="00286D3B">
        <w:rPr>
          <w:i/>
          <w:iCs/>
          <w:szCs w:val="24"/>
        </w:rPr>
        <w:t>Technical Background Document for the Sewage Sludge Exposure and Hazard Screening Assessment.</w:t>
      </w:r>
      <w:r w:rsidRPr="00286D3B">
        <w:rPr>
          <w:szCs w:val="24"/>
        </w:rPr>
        <w:t xml:space="preserve"> U.S. EPA, Office of Water, Washington, DC. EPA-822-B-03-001. December 19.</w:t>
      </w:r>
    </w:p>
    <w:p w14:paraId="38477609" w14:textId="77777777" w:rsidR="000F6815" w:rsidRPr="00286D3B" w:rsidRDefault="000F6815" w:rsidP="000F6815">
      <w:pPr>
        <w:pStyle w:val="References"/>
        <w:rPr>
          <w:szCs w:val="24"/>
        </w:rPr>
      </w:pPr>
      <w:r w:rsidRPr="00286D3B">
        <w:rPr>
          <w:szCs w:val="24"/>
        </w:rPr>
        <w:t xml:space="preserve">U.S. EPA (Environmental Protection Agency). 2003b. </w:t>
      </w:r>
      <w:r w:rsidRPr="00286D3B">
        <w:rPr>
          <w:i/>
          <w:iCs/>
          <w:szCs w:val="24"/>
        </w:rPr>
        <w:t>Multimedia, Multipathway, and Multireceptor Risk Assessment (3MRA) Modeling System. Volume I: Modeling System and Science.</w:t>
      </w:r>
      <w:r w:rsidRPr="00286D3B">
        <w:rPr>
          <w:szCs w:val="24"/>
        </w:rPr>
        <w:t xml:space="preserve"> SAB Review Draft. Office of Research and Development (Athens, GA) and Office of Solid Waste (Washington, DC). July. </w:t>
      </w:r>
    </w:p>
    <w:p w14:paraId="288805A5" w14:textId="77777777" w:rsidR="000F6815" w:rsidRPr="00286D3B" w:rsidRDefault="000F6815" w:rsidP="000F6815">
      <w:pPr>
        <w:pStyle w:val="References"/>
        <w:rPr>
          <w:szCs w:val="24"/>
        </w:rPr>
      </w:pPr>
      <w:r w:rsidRPr="00286D3B">
        <w:rPr>
          <w:szCs w:val="24"/>
        </w:rPr>
        <w:t xml:space="preserve">U.S. EPA (Environmental Protection Agency). 2005. </w:t>
      </w:r>
      <w:r w:rsidRPr="00286D3B">
        <w:rPr>
          <w:i/>
          <w:iCs/>
          <w:szCs w:val="24"/>
        </w:rPr>
        <w:t xml:space="preserve">Human Health Risk Assessment Protocol for Hazardous Waste Combustion Facilities. </w:t>
      </w:r>
      <w:r w:rsidRPr="00286D3B">
        <w:rPr>
          <w:szCs w:val="24"/>
        </w:rPr>
        <w:t xml:space="preserve">EPA/530/R-05/006. U.S. EPA, Office of Solid Waste and Emergency Response. September. Washington, DC. </w:t>
      </w:r>
    </w:p>
    <w:p w14:paraId="054D64A2" w14:textId="77777777" w:rsidR="000F6815" w:rsidRPr="00286D3B" w:rsidRDefault="000F6815" w:rsidP="000F6815">
      <w:pPr>
        <w:pStyle w:val="References"/>
        <w:rPr>
          <w:szCs w:val="24"/>
        </w:rPr>
      </w:pPr>
      <w:r w:rsidRPr="00286D3B">
        <w:rPr>
          <w:szCs w:val="24"/>
        </w:rPr>
        <w:t xml:space="preserve">U.S. EPA (Environmental Protection Agency). 2009a. </w:t>
      </w:r>
      <w:r w:rsidRPr="00286D3B">
        <w:rPr>
          <w:i/>
          <w:szCs w:val="24"/>
        </w:rPr>
        <w:t>Targeted National Sewage Sludge Survey Sampling and Analysis Technical Report</w:t>
      </w:r>
      <w:r w:rsidRPr="00286D3B">
        <w:rPr>
          <w:szCs w:val="24"/>
        </w:rPr>
        <w:t xml:space="preserve">. EPA-822-R-08-016. Office of Water, Office of Science and Technology, Washington, DC. Available at </w:t>
      </w:r>
      <w:hyperlink r:id="rId53" w:history="1">
        <w:r w:rsidRPr="00286D3B">
          <w:rPr>
            <w:rStyle w:val="Hyperlink"/>
            <w:szCs w:val="24"/>
          </w:rPr>
          <w:t>http://water.epa.gov/‌scitech/‌wastetech/‌biosolids/‌biosolids_index.cfm</w:t>
        </w:r>
      </w:hyperlink>
      <w:r w:rsidRPr="00286D3B">
        <w:rPr>
          <w:szCs w:val="24"/>
        </w:rPr>
        <w:t>.</w:t>
      </w:r>
    </w:p>
    <w:p w14:paraId="051A5E97" w14:textId="77777777" w:rsidR="000F6815" w:rsidRPr="00286D3B" w:rsidRDefault="000F6815" w:rsidP="000F6815">
      <w:pPr>
        <w:pStyle w:val="References"/>
        <w:rPr>
          <w:szCs w:val="24"/>
        </w:rPr>
      </w:pPr>
      <w:r w:rsidRPr="00286D3B">
        <w:rPr>
          <w:szCs w:val="24"/>
        </w:rPr>
        <w:t xml:space="preserve">U.S. EPA (Environmental Protection Agency). 2009b. </w:t>
      </w:r>
      <w:r w:rsidRPr="00286D3B">
        <w:rPr>
          <w:i/>
          <w:iCs/>
          <w:szCs w:val="24"/>
        </w:rPr>
        <w:t>Targeted National Sewage Sludge Survey Statistical Analysis Report</w:t>
      </w:r>
      <w:r w:rsidRPr="00286D3B">
        <w:rPr>
          <w:szCs w:val="24"/>
        </w:rPr>
        <w:t xml:space="preserve">. EPA/822/R-08/018. Office of Water, Office of Science and Technology, Washington, DC. Available at </w:t>
      </w:r>
      <w:hyperlink r:id="rId54" w:history="1">
        <w:r w:rsidRPr="00286D3B">
          <w:rPr>
            <w:rStyle w:val="Hyperlink"/>
            <w:szCs w:val="24"/>
          </w:rPr>
          <w:t>http://water.epa.gov/scitech/wastetech/biosolids/‌biosolids_index.cfm</w:t>
        </w:r>
      </w:hyperlink>
      <w:r w:rsidRPr="00286D3B">
        <w:rPr>
          <w:szCs w:val="24"/>
        </w:rPr>
        <w:t>.</w:t>
      </w:r>
    </w:p>
    <w:p w14:paraId="5FAB821F" w14:textId="77777777" w:rsidR="000F6815" w:rsidRPr="00286D3B" w:rsidRDefault="000F6815" w:rsidP="000F6815">
      <w:pPr>
        <w:pStyle w:val="References"/>
        <w:rPr>
          <w:szCs w:val="24"/>
        </w:rPr>
      </w:pPr>
      <w:r w:rsidRPr="00286D3B">
        <w:rPr>
          <w:szCs w:val="24"/>
        </w:rPr>
        <w:t xml:space="preserve">U.S. EPA (Environmental Protection Agency). 2010. </w:t>
      </w:r>
      <w:r w:rsidRPr="00286D3B">
        <w:rPr>
          <w:i/>
          <w:iCs/>
          <w:szCs w:val="24"/>
        </w:rPr>
        <w:t>Estimation Programs Interface Suite (EPISuite) for Microsoft Windows, v 4.10</w:t>
      </w:r>
      <w:r w:rsidRPr="00286D3B">
        <w:rPr>
          <w:szCs w:val="24"/>
        </w:rPr>
        <w:t>. Washington, DC: U.S. Environmental Protection Agency. September.</w:t>
      </w:r>
    </w:p>
    <w:p w14:paraId="51ABD31A" w14:textId="77777777" w:rsidR="000F6815" w:rsidRPr="00286D3B" w:rsidRDefault="000F6815" w:rsidP="000F6815">
      <w:pPr>
        <w:pStyle w:val="References"/>
        <w:rPr>
          <w:szCs w:val="24"/>
        </w:rPr>
      </w:pPr>
      <w:r w:rsidRPr="00286D3B">
        <w:rPr>
          <w:szCs w:val="24"/>
        </w:rPr>
        <w:t xml:space="preserve">U.S. EPA (Environmental Protection Agency). 2011. </w:t>
      </w:r>
      <w:r w:rsidRPr="00286D3B">
        <w:rPr>
          <w:i/>
          <w:szCs w:val="24"/>
        </w:rPr>
        <w:t>Exposure Factors Handbook: 2011 Edition.</w:t>
      </w:r>
      <w:r w:rsidRPr="00286D3B">
        <w:rPr>
          <w:szCs w:val="24"/>
        </w:rPr>
        <w:t xml:space="preserve"> EPA/600/R-090/052F. National Center for Environmental Assessment, Office of Research and Development, Washington, DC. September. Available at </w:t>
      </w:r>
      <w:hyperlink r:id="rId55" w:history="1">
        <w:r w:rsidRPr="00286D3B">
          <w:rPr>
            <w:rStyle w:val="Hyperlink"/>
            <w:szCs w:val="24"/>
          </w:rPr>
          <w:t>http://www.epa.gov/ncea/efh/pdfs/efh-complete.pdf</w:t>
        </w:r>
      </w:hyperlink>
      <w:r w:rsidRPr="00286D3B">
        <w:rPr>
          <w:szCs w:val="24"/>
        </w:rPr>
        <w:t xml:space="preserve">. </w:t>
      </w:r>
    </w:p>
    <w:p w14:paraId="47CE5F3E" w14:textId="77777777" w:rsidR="000F6815" w:rsidRPr="00286D3B" w:rsidRDefault="000F6815" w:rsidP="000F6815">
      <w:pPr>
        <w:pStyle w:val="References"/>
        <w:rPr>
          <w:szCs w:val="24"/>
        </w:rPr>
      </w:pPr>
      <w:bookmarkStart w:id="138" w:name="_Toc453929893"/>
      <w:bookmarkEnd w:id="137"/>
      <w:r w:rsidRPr="00286D3B">
        <w:rPr>
          <w:szCs w:val="24"/>
        </w:rPr>
        <w:t xml:space="preserve">U.S. EPA (Environmental Protection Agency). 2021. </w:t>
      </w:r>
      <w:r w:rsidRPr="00286D3B">
        <w:rPr>
          <w:i/>
          <w:iCs/>
          <w:szCs w:val="24"/>
        </w:rPr>
        <w:t>Targeted National Sewage Sludge Survey: Summary Statistics and Estimates of 95th Percentiles for 84 Additional Analytes</w:t>
      </w:r>
      <w:r w:rsidRPr="00286D3B">
        <w:rPr>
          <w:szCs w:val="24"/>
        </w:rPr>
        <w:t>. EPA 822-R-21-003. EPA Office of Water, Washington, DC. April.</w:t>
      </w:r>
      <w:bookmarkEnd w:id="138"/>
    </w:p>
    <w:p w14:paraId="53289C59" w14:textId="77777777" w:rsidR="000F6815" w:rsidRPr="00286D3B" w:rsidRDefault="000F6815" w:rsidP="000F6815">
      <w:pPr>
        <w:rPr>
          <w:rFonts w:ascii="Times New Roman" w:hAnsi="Times New Roman" w:cs="Times New Roman"/>
          <w:sz w:val="24"/>
          <w:szCs w:val="24"/>
        </w:rPr>
      </w:pPr>
    </w:p>
    <w:p w14:paraId="44D175FD" w14:textId="77777777" w:rsidR="00603EE1" w:rsidRDefault="00603EE1"/>
    <w:sectPr w:rsidR="00603EE1" w:rsidSect="00F65FC4">
      <w:headerReference w:type="default" r:id="rId56"/>
      <w:footerReference w:type="default" r:id="rId57"/>
      <w:pgSz w:w="12240" w:h="15840" w:code="1"/>
      <w:pgMar w:top="1440" w:right="1440" w:bottom="1440" w:left="1440" w:header="720" w:footer="720"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378CAF" w14:textId="77777777" w:rsidR="000F6815" w:rsidRDefault="000F6815" w:rsidP="000F6815">
      <w:pPr>
        <w:spacing w:after="0" w:line="240" w:lineRule="auto"/>
      </w:pPr>
      <w:r>
        <w:separator/>
      </w:r>
    </w:p>
  </w:endnote>
  <w:endnote w:type="continuationSeparator" w:id="0">
    <w:p w14:paraId="23F9E89B" w14:textId="77777777" w:rsidR="000F6815" w:rsidRDefault="000F6815" w:rsidP="000F6815">
      <w:pPr>
        <w:spacing w:after="0" w:line="240" w:lineRule="auto"/>
      </w:pPr>
      <w:r>
        <w:continuationSeparator/>
      </w:r>
    </w:p>
  </w:endnote>
  <w:endnote w:type="continuationNotice" w:id="1">
    <w:p w14:paraId="24DF4671" w14:textId="77777777" w:rsidR="001D1E39" w:rsidRDefault="001D1E3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panose1 w:val="020B0704020202020204"/>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6EB829" w14:textId="6E5A7F3F" w:rsidR="000F6815" w:rsidRPr="00682194" w:rsidRDefault="00253FB5" w:rsidP="00AA62CD">
    <w:pPr>
      <w:pStyle w:val="Footer"/>
      <w:tabs>
        <w:tab w:val="right" w:pos="9360"/>
      </w:tabs>
      <w:jc w:val="left"/>
    </w:pPr>
    <w:r>
      <w:rPr>
        <w:rStyle w:val="PageNumber"/>
        <w:i/>
        <w:iCs/>
      </w:rPr>
      <w:t>February</w:t>
    </w:r>
    <w:r w:rsidR="000F6815">
      <w:rPr>
        <w:rStyle w:val="PageNumber"/>
        <w:i/>
        <w:iCs/>
      </w:rPr>
      <w:t xml:space="preserve"> </w:t>
    </w:r>
    <w:r w:rsidR="000F6815" w:rsidRPr="00635402">
      <w:rPr>
        <w:rStyle w:val="PageNumber"/>
        <w:i/>
        <w:iCs/>
      </w:rPr>
      <w:t>20</w:t>
    </w:r>
    <w:r w:rsidR="000F6815">
      <w:rPr>
        <w:rStyle w:val="PageNumber"/>
        <w:i/>
        <w:iCs/>
      </w:rPr>
      <w:t>2</w:t>
    </w:r>
    <w:r>
      <w:rPr>
        <w:rStyle w:val="PageNumber"/>
        <w:i/>
        <w:iCs/>
      </w:rPr>
      <w:t>3</w:t>
    </w:r>
    <w:r w:rsidR="000F6815">
      <w:rPr>
        <w:rStyle w:val="PageNumber"/>
        <w:i/>
        <w:iCs/>
      </w:rPr>
      <w:t xml:space="preserve"> (v1)</w:t>
    </w:r>
    <w:r w:rsidR="000F6815">
      <w:rPr>
        <w:rStyle w:val="PageNumber"/>
      </w:rPr>
      <w:tab/>
    </w:r>
    <w:r w:rsidR="000F6815">
      <w:rPr>
        <w:rStyle w:val="PageNumber"/>
      </w:rPr>
      <w:fldChar w:fldCharType="begin"/>
    </w:r>
    <w:r w:rsidR="000F6815">
      <w:rPr>
        <w:rStyle w:val="PageNumber"/>
      </w:rPr>
      <w:instrText xml:space="preserve"> PAGE </w:instrText>
    </w:r>
    <w:r w:rsidR="000F6815">
      <w:rPr>
        <w:rStyle w:val="PageNumber"/>
      </w:rPr>
      <w:fldChar w:fldCharType="separate"/>
    </w:r>
    <w:r w:rsidR="000F6815">
      <w:rPr>
        <w:rStyle w:val="PageNumber"/>
        <w:noProof/>
      </w:rPr>
      <w:t>15</w:t>
    </w:r>
    <w:r w:rsidR="000F6815">
      <w:rPr>
        <w:rStyle w:val="PageNumber"/>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6F02BA" w14:textId="036E587F" w:rsidR="00AA62CD" w:rsidRPr="000F1955" w:rsidRDefault="00253FB5" w:rsidP="00AA62CD">
    <w:pPr>
      <w:pStyle w:val="Footer"/>
      <w:tabs>
        <w:tab w:val="right" w:pos="9360"/>
      </w:tabs>
      <w:jc w:val="left"/>
      <w:rPr>
        <w:i/>
        <w:iCs/>
      </w:rPr>
    </w:pPr>
    <w:r>
      <w:rPr>
        <w:rStyle w:val="PageNumber"/>
        <w:i/>
        <w:iCs/>
      </w:rPr>
      <w:t xml:space="preserve">February </w:t>
    </w:r>
    <w:r w:rsidRPr="00635402">
      <w:rPr>
        <w:rStyle w:val="PageNumber"/>
        <w:i/>
        <w:iCs/>
      </w:rPr>
      <w:t>20</w:t>
    </w:r>
    <w:r>
      <w:rPr>
        <w:rStyle w:val="PageNumber"/>
        <w:i/>
        <w:iCs/>
      </w:rPr>
      <w:t>23 (v1)</w:t>
    </w:r>
    <w:r w:rsidR="000F1955">
      <w:rPr>
        <w:rStyle w:val="PageNumber"/>
      </w:rPr>
      <w:tab/>
    </w:r>
    <w:r w:rsidR="000F1955">
      <w:rPr>
        <w:rStyle w:val="PageNumber"/>
      </w:rPr>
      <w:fldChar w:fldCharType="begin"/>
    </w:r>
    <w:r w:rsidR="000F1955">
      <w:rPr>
        <w:rStyle w:val="PageNumber"/>
      </w:rPr>
      <w:instrText xml:space="preserve"> PAGE </w:instrText>
    </w:r>
    <w:r w:rsidR="000F1955">
      <w:rPr>
        <w:rStyle w:val="PageNumber"/>
      </w:rPr>
      <w:fldChar w:fldCharType="separate"/>
    </w:r>
    <w:r w:rsidR="000F1955">
      <w:rPr>
        <w:rStyle w:val="PageNumber"/>
        <w:noProof/>
      </w:rPr>
      <w:t>15</w:t>
    </w:r>
    <w:r w:rsidR="000F1955">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4A4D6D" w14:textId="77777777" w:rsidR="000F6815" w:rsidRDefault="000F6815" w:rsidP="000F6815">
      <w:pPr>
        <w:spacing w:after="0" w:line="240" w:lineRule="auto"/>
      </w:pPr>
      <w:r>
        <w:separator/>
      </w:r>
    </w:p>
  </w:footnote>
  <w:footnote w:type="continuationSeparator" w:id="0">
    <w:p w14:paraId="7B67B9D3" w14:textId="77777777" w:rsidR="000F6815" w:rsidRDefault="000F6815" w:rsidP="000F6815">
      <w:pPr>
        <w:spacing w:after="0" w:line="240" w:lineRule="auto"/>
      </w:pPr>
      <w:r>
        <w:continuationSeparator/>
      </w:r>
    </w:p>
  </w:footnote>
  <w:footnote w:type="continuationNotice" w:id="1">
    <w:p w14:paraId="15A34F5A" w14:textId="77777777" w:rsidR="001D1E39" w:rsidRDefault="001D1E39">
      <w:pPr>
        <w:spacing w:after="0" w:line="240" w:lineRule="auto"/>
      </w:pPr>
    </w:p>
  </w:footnote>
  <w:footnote w:id="2">
    <w:p w14:paraId="081C7DBE" w14:textId="060BD82A" w:rsidR="00DC6D96" w:rsidRDefault="00DC6D96">
      <w:pPr>
        <w:pStyle w:val="FootnoteText"/>
      </w:pPr>
      <w:r>
        <w:rPr>
          <w:rStyle w:val="FootnoteReference"/>
        </w:rPr>
        <w:footnoteRef/>
      </w:r>
      <w:r w:rsidR="00253FB5">
        <w:tab/>
      </w:r>
      <w:r>
        <w:t xml:space="preserve">Chemicals that have been detected in biosolids or sewage sludge during literature reviews may not have sufficient data to establish a 95% concentration for the nation. The source data will need to be evaluated </w:t>
      </w:r>
      <w:r w:rsidR="00253FB5">
        <w:t>by</w:t>
      </w:r>
      <w:r>
        <w:t xml:space="preserve"> chemical to estimate a high</w:t>
      </w:r>
      <w:r w:rsidR="00253FB5">
        <w:t>-</w:t>
      </w:r>
      <w:r>
        <w:t>end concentration for screening risk assessment.</w:t>
      </w:r>
    </w:p>
  </w:footnote>
  <w:footnote w:id="3">
    <w:p w14:paraId="439EB2C9" w14:textId="77777777" w:rsidR="000F6815" w:rsidRDefault="000F6815" w:rsidP="000F6815">
      <w:pPr>
        <w:pStyle w:val="FootnoteText"/>
      </w:pPr>
      <w:r>
        <w:rPr>
          <w:rStyle w:val="FootnoteReference"/>
        </w:rPr>
        <w:footnoteRef/>
      </w:r>
      <w:r>
        <w:tab/>
        <w:t xml:space="preserve">Click on the </w:t>
      </w:r>
      <w:r w:rsidRPr="007143B4">
        <w:rPr>
          <w:rStyle w:val="Button"/>
        </w:rPr>
        <w:t>Office</w:t>
      </w:r>
      <w:r>
        <w:t xml:space="preserve"> button or </w:t>
      </w:r>
      <w:r w:rsidRPr="007143B4">
        <w:rPr>
          <w:rStyle w:val="Button"/>
        </w:rPr>
        <w:t>File</w:t>
      </w:r>
      <w:r>
        <w:t xml:space="preserve"> Menu, select </w:t>
      </w:r>
      <w:r w:rsidRPr="007143B4">
        <w:rPr>
          <w:rStyle w:val="Button"/>
        </w:rPr>
        <w:t>Options</w:t>
      </w:r>
      <w:r>
        <w:t xml:space="preserve">, </w:t>
      </w:r>
      <w:r w:rsidRPr="007143B4">
        <w:rPr>
          <w:rStyle w:val="Button"/>
        </w:rPr>
        <w:t>Trust</w:t>
      </w:r>
      <w:r>
        <w:t xml:space="preserve"> </w:t>
      </w:r>
      <w:r w:rsidRPr="007143B4">
        <w:rPr>
          <w:rStyle w:val="Button"/>
        </w:rPr>
        <w:t>Center</w:t>
      </w:r>
      <w:r>
        <w:t xml:space="preserve">, </w:t>
      </w:r>
      <w:r w:rsidRPr="007143B4">
        <w:rPr>
          <w:rStyle w:val="Button"/>
        </w:rPr>
        <w:t>Trust</w:t>
      </w:r>
      <w:r>
        <w:t xml:space="preserve"> </w:t>
      </w:r>
      <w:r w:rsidRPr="007143B4">
        <w:rPr>
          <w:rStyle w:val="Button"/>
        </w:rPr>
        <w:t>Center</w:t>
      </w:r>
      <w:r>
        <w:t xml:space="preserve"> </w:t>
      </w:r>
      <w:r w:rsidRPr="007143B4">
        <w:rPr>
          <w:rStyle w:val="Button"/>
        </w:rPr>
        <w:t>Settings</w:t>
      </w:r>
      <w:r>
        <w:t xml:space="preserve">, </w:t>
      </w:r>
      <w:r w:rsidRPr="007143B4">
        <w:rPr>
          <w:rStyle w:val="Button"/>
        </w:rPr>
        <w:t>Trusted</w:t>
      </w:r>
      <w:r>
        <w:t xml:space="preserve"> </w:t>
      </w:r>
      <w:r w:rsidRPr="007143B4">
        <w:rPr>
          <w:rStyle w:val="Button"/>
        </w:rPr>
        <w:t>Locations</w:t>
      </w:r>
      <w:r>
        <w:t xml:space="preserve">, </w:t>
      </w:r>
      <w:r w:rsidRPr="007143B4">
        <w:rPr>
          <w:rStyle w:val="Button"/>
        </w:rPr>
        <w:t>Add</w:t>
      </w:r>
      <w:r>
        <w:t xml:space="preserve"> </w:t>
      </w:r>
      <w:r w:rsidRPr="007143B4">
        <w:rPr>
          <w:rStyle w:val="Button"/>
        </w:rPr>
        <w:t>New</w:t>
      </w:r>
      <w:r>
        <w:t xml:space="preserve"> </w:t>
      </w:r>
      <w:r w:rsidRPr="007143B4">
        <w:rPr>
          <w:rStyle w:val="Button"/>
        </w:rPr>
        <w:t>Location</w:t>
      </w:r>
      <w:r>
        <w:t xml:space="preserve">. Browse to the location where you saved the Tool, click </w:t>
      </w:r>
      <w:r w:rsidRPr="007143B4">
        <w:rPr>
          <w:rStyle w:val="Button"/>
        </w:rPr>
        <w:t>Ok</w:t>
      </w:r>
      <w:r>
        <w:t xml:space="preserve">, make sure you check </w:t>
      </w:r>
      <w:r w:rsidRPr="007143B4">
        <w:rPr>
          <w:rStyle w:val="Button"/>
        </w:rPr>
        <w:t>Subfolders Also Trusted</w:t>
      </w:r>
      <w:r>
        <w:t xml:space="preserve">, then click </w:t>
      </w:r>
      <w:r w:rsidRPr="007143B4">
        <w:rPr>
          <w:rStyle w:val="Button"/>
        </w:rPr>
        <w:t>Ok</w:t>
      </w:r>
      <w:r>
        <w:t xml:space="preserve"> until you are returned to the database. The next time you open it, you should no longer get the warning.</w:t>
      </w:r>
    </w:p>
  </w:footnote>
  <w:footnote w:id="4">
    <w:p w14:paraId="3A3DAC13" w14:textId="77777777" w:rsidR="000F6815" w:rsidRDefault="000F6815" w:rsidP="000F6815">
      <w:pPr>
        <w:pStyle w:val="FootnoteText"/>
      </w:pPr>
      <w:r>
        <w:rPr>
          <w:rStyle w:val="FootnoteReference"/>
        </w:rPr>
        <w:footnoteRef/>
      </w:r>
      <w:r>
        <w:tab/>
        <w:t xml:space="preserve">When using EPISuite to estimate parameter values, be sure to enter any properties data you do have so that the estimated property value will be consistent with the data you have, and always </w:t>
      </w:r>
      <w:r>
        <w:rPr>
          <w:sz w:val="22"/>
          <w:szCs w:val="24"/>
          <w:lang w:eastAsia="x-none"/>
        </w:rPr>
        <w:t>select</w:t>
      </w:r>
      <w:r>
        <w:t xml:space="preserve"> the “Full Results” option.</w:t>
      </w:r>
    </w:p>
  </w:footnote>
  <w:footnote w:id="5">
    <w:p w14:paraId="6AFF33AF" w14:textId="77777777" w:rsidR="000F6815" w:rsidRDefault="000F6815" w:rsidP="000F6815">
      <w:pPr>
        <w:pStyle w:val="FootnoteText"/>
      </w:pPr>
      <w:r>
        <w:rPr>
          <w:rStyle w:val="FootnoteReference"/>
        </w:rPr>
        <w:footnoteRef/>
      </w:r>
      <w:r>
        <w:t xml:space="preserve"> </w:t>
      </w:r>
      <w:r>
        <w:tab/>
        <w:t xml:space="preserve">The generic receptors “birds” and “mammals” are based on Ecological Soil Screening Levels (Eco-SSLs; see </w:t>
      </w:r>
      <w:hyperlink r:id="rId1">
        <w:r w:rsidRPr="469955CA">
          <w:rPr>
            <w:rStyle w:val="Hyperlink"/>
          </w:rPr>
          <w:t>https://www.epa.gov/chemical-research/ecological-soil-screening-level</w:t>
        </w:r>
      </w:hyperlink>
      <w:r>
        <w:t>), which are based on soil concentrations.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442B2" w14:textId="77777777" w:rsidR="00AA62CD" w:rsidRDefault="00AA62C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8DDEF952"/>
    <w:lvl w:ilvl="0">
      <w:start w:val="1"/>
      <w:numFmt w:val="decimal"/>
      <w:pStyle w:val="ListNumber"/>
      <w:lvlText w:val="%1."/>
      <w:lvlJc w:val="left"/>
      <w:pPr>
        <w:tabs>
          <w:tab w:val="num" w:pos="360"/>
        </w:tabs>
        <w:ind w:left="360" w:hanging="360"/>
      </w:pPr>
    </w:lvl>
  </w:abstractNum>
  <w:abstractNum w:abstractNumId="1" w15:restartNumberingAfterBreak="0">
    <w:nsid w:val="0F002EE0"/>
    <w:multiLevelType w:val="hybridMultilevel"/>
    <w:tmpl w:val="902C6AE0"/>
    <w:name w:val="WW8Num22"/>
    <w:lvl w:ilvl="0" w:tplc="6AE8B060">
      <w:start w:val="1"/>
      <w:numFmt w:val="bullet"/>
      <w:lvlText w:val=""/>
      <w:lvlJc w:val="left"/>
      <w:pPr>
        <w:tabs>
          <w:tab w:val="num" w:pos="1080"/>
        </w:tabs>
        <w:ind w:left="1080" w:hanging="360"/>
      </w:pPr>
      <w:rPr>
        <w:rFonts w:ascii="Wingdings" w:hAnsi="Wingdings" w:hint="default"/>
        <w:color w:val="auto"/>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 w15:restartNumberingAfterBreak="0">
    <w:nsid w:val="0FAA2A8C"/>
    <w:multiLevelType w:val="hybridMultilevel"/>
    <w:tmpl w:val="D2988E9A"/>
    <w:lvl w:ilvl="0" w:tplc="0409000F">
      <w:start w:val="1"/>
      <w:numFmt w:val="decimal"/>
      <w:lvlText w:val="%1."/>
      <w:lvlJc w:val="left"/>
      <w:pPr>
        <w:ind w:left="840" w:hanging="360"/>
      </w:pPr>
      <w:rPr>
        <w:rFonts w:hint="default"/>
        <w:b w:val="0"/>
        <w:bCs w:val="0"/>
        <w:i w:val="0"/>
        <w:iCs w:val="0"/>
        <w:w w:val="100"/>
        <w:sz w:val="20"/>
        <w:szCs w:val="20"/>
        <w:lang w:val="en-US" w:eastAsia="en-US" w:bidi="ar-SA"/>
      </w:rPr>
    </w:lvl>
    <w:lvl w:ilvl="1" w:tplc="4204F53A">
      <w:numFmt w:val="bullet"/>
      <w:lvlText w:val="•"/>
      <w:lvlJc w:val="left"/>
      <w:pPr>
        <w:ind w:left="1716" w:hanging="360"/>
      </w:pPr>
      <w:rPr>
        <w:rFonts w:hint="default"/>
        <w:lang w:val="en-US" w:eastAsia="en-US" w:bidi="ar-SA"/>
      </w:rPr>
    </w:lvl>
    <w:lvl w:ilvl="2" w:tplc="4EBE479C">
      <w:numFmt w:val="bullet"/>
      <w:lvlText w:val="•"/>
      <w:lvlJc w:val="left"/>
      <w:pPr>
        <w:ind w:left="2592" w:hanging="360"/>
      </w:pPr>
      <w:rPr>
        <w:rFonts w:hint="default"/>
        <w:lang w:val="en-US" w:eastAsia="en-US" w:bidi="ar-SA"/>
      </w:rPr>
    </w:lvl>
    <w:lvl w:ilvl="3" w:tplc="8A0C7028">
      <w:numFmt w:val="bullet"/>
      <w:lvlText w:val="•"/>
      <w:lvlJc w:val="left"/>
      <w:pPr>
        <w:ind w:left="3468" w:hanging="360"/>
      </w:pPr>
      <w:rPr>
        <w:rFonts w:hint="default"/>
        <w:lang w:val="en-US" w:eastAsia="en-US" w:bidi="ar-SA"/>
      </w:rPr>
    </w:lvl>
    <w:lvl w:ilvl="4" w:tplc="0D3ADC16">
      <w:numFmt w:val="bullet"/>
      <w:lvlText w:val="•"/>
      <w:lvlJc w:val="left"/>
      <w:pPr>
        <w:ind w:left="4344" w:hanging="360"/>
      </w:pPr>
      <w:rPr>
        <w:rFonts w:hint="default"/>
        <w:lang w:val="en-US" w:eastAsia="en-US" w:bidi="ar-SA"/>
      </w:rPr>
    </w:lvl>
    <w:lvl w:ilvl="5" w:tplc="B0B48F36">
      <w:numFmt w:val="bullet"/>
      <w:lvlText w:val="•"/>
      <w:lvlJc w:val="left"/>
      <w:pPr>
        <w:ind w:left="5220" w:hanging="360"/>
      </w:pPr>
      <w:rPr>
        <w:rFonts w:hint="default"/>
        <w:lang w:val="en-US" w:eastAsia="en-US" w:bidi="ar-SA"/>
      </w:rPr>
    </w:lvl>
    <w:lvl w:ilvl="6" w:tplc="84EE156A">
      <w:numFmt w:val="bullet"/>
      <w:lvlText w:val="•"/>
      <w:lvlJc w:val="left"/>
      <w:pPr>
        <w:ind w:left="6096" w:hanging="360"/>
      </w:pPr>
      <w:rPr>
        <w:rFonts w:hint="default"/>
        <w:lang w:val="en-US" w:eastAsia="en-US" w:bidi="ar-SA"/>
      </w:rPr>
    </w:lvl>
    <w:lvl w:ilvl="7" w:tplc="E8B28FC2">
      <w:numFmt w:val="bullet"/>
      <w:lvlText w:val="•"/>
      <w:lvlJc w:val="left"/>
      <w:pPr>
        <w:ind w:left="6972" w:hanging="360"/>
      </w:pPr>
      <w:rPr>
        <w:rFonts w:hint="default"/>
        <w:lang w:val="en-US" w:eastAsia="en-US" w:bidi="ar-SA"/>
      </w:rPr>
    </w:lvl>
    <w:lvl w:ilvl="8" w:tplc="6CD8FBCA">
      <w:numFmt w:val="bullet"/>
      <w:lvlText w:val="•"/>
      <w:lvlJc w:val="left"/>
      <w:pPr>
        <w:ind w:left="7848" w:hanging="360"/>
      </w:pPr>
      <w:rPr>
        <w:rFonts w:hint="default"/>
        <w:lang w:val="en-US" w:eastAsia="en-US" w:bidi="ar-SA"/>
      </w:rPr>
    </w:lvl>
  </w:abstractNum>
  <w:abstractNum w:abstractNumId="3" w15:restartNumberingAfterBreak="0">
    <w:nsid w:val="15C726BA"/>
    <w:multiLevelType w:val="hybridMultilevel"/>
    <w:tmpl w:val="04EC389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ED765D8"/>
    <w:multiLevelType w:val="hybridMultilevel"/>
    <w:tmpl w:val="B1267700"/>
    <w:lvl w:ilvl="0" w:tplc="B29A3F12">
      <w:start w:val="1"/>
      <w:numFmt w:val="decimal"/>
      <w:pStyle w:val="numlist"/>
      <w:lvlText w:val="%1."/>
      <w:lvlJc w:val="left"/>
      <w:pPr>
        <w:ind w:left="720" w:hanging="360"/>
      </w:pPr>
      <w:rPr>
        <w:rFonts w:hint="default"/>
        <w:b/>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20FD4D87"/>
    <w:multiLevelType w:val="multilevel"/>
    <w:tmpl w:val="5BAAE5C4"/>
    <w:lvl w:ilvl="0">
      <w:start w:val="1"/>
      <w:numFmt w:val="decimal"/>
      <w:pStyle w:val="TableNumlist"/>
      <w:lvlText w:val="%1."/>
      <w:lvlJc w:val="left"/>
      <w:pPr>
        <w:tabs>
          <w:tab w:val="num" w:pos="864"/>
        </w:tabs>
        <w:ind w:left="864" w:hanging="864"/>
      </w:pPr>
      <w:rPr>
        <w:rFonts w:ascii="Arial" w:hAnsi="Arial" w:cs="Arial" w:hint="default"/>
        <w:b w:val="0"/>
        <w:bCs w:val="0"/>
        <w:i w:val="0"/>
        <w:iCs w:val="0"/>
        <w:caps w:val="0"/>
        <w:strike w:val="0"/>
        <w:dstrike w:val="0"/>
        <w:vanish w:val="0"/>
        <w:color w:val="auto"/>
        <w:spacing w:val="0"/>
        <w:kern w:val="0"/>
        <w:position w:val="0"/>
        <w:sz w:val="18"/>
        <w:szCs w:val="18"/>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864"/>
        </w:tabs>
        <w:ind w:left="864" w:hanging="864"/>
      </w:pPr>
      <w:rPr>
        <w:rFonts w:ascii="Arial Bold" w:hAnsi="Arial Bold" w:hint="default"/>
        <w:b/>
        <w:i w:val="0"/>
        <w:sz w:val="28"/>
        <w:szCs w:val="28"/>
      </w:rPr>
    </w:lvl>
    <w:lvl w:ilvl="2">
      <w:start w:val="1"/>
      <w:numFmt w:val="decimal"/>
      <w:lvlText w:val="%1.%2.%3"/>
      <w:lvlJc w:val="left"/>
      <w:pPr>
        <w:tabs>
          <w:tab w:val="num" w:pos="864"/>
        </w:tabs>
        <w:ind w:left="864" w:hanging="864"/>
      </w:pPr>
      <w:rPr>
        <w:rFonts w:ascii="Arial Bold" w:hAnsi="Arial Bold" w:hint="default"/>
        <w:b/>
        <w:i w:val="0"/>
        <w:sz w:val="24"/>
        <w:szCs w:val="24"/>
      </w:rPr>
    </w:lvl>
    <w:lvl w:ilvl="3">
      <w:start w:val="1"/>
      <w:numFmt w:val="decimal"/>
      <w:lvlText w:val="%1.%2.%3.%4"/>
      <w:lvlJc w:val="left"/>
      <w:pPr>
        <w:tabs>
          <w:tab w:val="num" w:pos="864"/>
        </w:tabs>
        <w:ind w:left="864" w:hanging="864"/>
      </w:pPr>
      <w:rPr>
        <w:rFonts w:ascii="Arial Black" w:hAnsi="Arial Black" w:hint="default"/>
        <w:b w:val="0"/>
        <w:i w:val="0"/>
        <w:sz w:val="20"/>
        <w:szCs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35DB4684"/>
    <w:multiLevelType w:val="hybridMultilevel"/>
    <w:tmpl w:val="D0D280A4"/>
    <w:lvl w:ilvl="0" w:tplc="89A02D8A">
      <w:numFmt w:val="bullet"/>
      <w:lvlText w:val=""/>
      <w:lvlJc w:val="left"/>
      <w:pPr>
        <w:ind w:left="840" w:hanging="360"/>
      </w:pPr>
      <w:rPr>
        <w:rFonts w:ascii="Wingdings" w:eastAsia="Wingdings" w:hAnsi="Wingdings" w:cs="Wingdings" w:hint="default"/>
        <w:b w:val="0"/>
        <w:bCs w:val="0"/>
        <w:i w:val="0"/>
        <w:iCs w:val="0"/>
        <w:w w:val="100"/>
        <w:sz w:val="20"/>
        <w:szCs w:val="20"/>
        <w:lang w:val="en-US" w:eastAsia="en-US" w:bidi="ar-SA"/>
      </w:rPr>
    </w:lvl>
    <w:lvl w:ilvl="1" w:tplc="72E2D8DA">
      <w:numFmt w:val="bullet"/>
      <w:lvlText w:val="•"/>
      <w:lvlJc w:val="left"/>
      <w:pPr>
        <w:ind w:left="1716" w:hanging="360"/>
      </w:pPr>
      <w:rPr>
        <w:rFonts w:hint="default"/>
        <w:lang w:val="en-US" w:eastAsia="en-US" w:bidi="ar-SA"/>
      </w:rPr>
    </w:lvl>
    <w:lvl w:ilvl="2" w:tplc="CF56D158">
      <w:numFmt w:val="bullet"/>
      <w:lvlText w:val="•"/>
      <w:lvlJc w:val="left"/>
      <w:pPr>
        <w:ind w:left="2592" w:hanging="360"/>
      </w:pPr>
      <w:rPr>
        <w:rFonts w:hint="default"/>
        <w:lang w:val="en-US" w:eastAsia="en-US" w:bidi="ar-SA"/>
      </w:rPr>
    </w:lvl>
    <w:lvl w:ilvl="3" w:tplc="D43220E4">
      <w:numFmt w:val="bullet"/>
      <w:lvlText w:val="•"/>
      <w:lvlJc w:val="left"/>
      <w:pPr>
        <w:ind w:left="3468" w:hanging="360"/>
      </w:pPr>
      <w:rPr>
        <w:rFonts w:hint="default"/>
        <w:lang w:val="en-US" w:eastAsia="en-US" w:bidi="ar-SA"/>
      </w:rPr>
    </w:lvl>
    <w:lvl w:ilvl="4" w:tplc="318AEA00">
      <w:numFmt w:val="bullet"/>
      <w:lvlText w:val="•"/>
      <w:lvlJc w:val="left"/>
      <w:pPr>
        <w:ind w:left="4344" w:hanging="360"/>
      </w:pPr>
      <w:rPr>
        <w:rFonts w:hint="default"/>
        <w:lang w:val="en-US" w:eastAsia="en-US" w:bidi="ar-SA"/>
      </w:rPr>
    </w:lvl>
    <w:lvl w:ilvl="5" w:tplc="B0623B5A">
      <w:numFmt w:val="bullet"/>
      <w:lvlText w:val="•"/>
      <w:lvlJc w:val="left"/>
      <w:pPr>
        <w:ind w:left="5220" w:hanging="360"/>
      </w:pPr>
      <w:rPr>
        <w:rFonts w:hint="default"/>
        <w:lang w:val="en-US" w:eastAsia="en-US" w:bidi="ar-SA"/>
      </w:rPr>
    </w:lvl>
    <w:lvl w:ilvl="6" w:tplc="70A60C86">
      <w:numFmt w:val="bullet"/>
      <w:lvlText w:val="•"/>
      <w:lvlJc w:val="left"/>
      <w:pPr>
        <w:ind w:left="6096" w:hanging="360"/>
      </w:pPr>
      <w:rPr>
        <w:rFonts w:hint="default"/>
        <w:lang w:val="en-US" w:eastAsia="en-US" w:bidi="ar-SA"/>
      </w:rPr>
    </w:lvl>
    <w:lvl w:ilvl="7" w:tplc="B5563882">
      <w:numFmt w:val="bullet"/>
      <w:lvlText w:val="•"/>
      <w:lvlJc w:val="left"/>
      <w:pPr>
        <w:ind w:left="6972" w:hanging="360"/>
      </w:pPr>
      <w:rPr>
        <w:rFonts w:hint="default"/>
        <w:lang w:val="en-US" w:eastAsia="en-US" w:bidi="ar-SA"/>
      </w:rPr>
    </w:lvl>
    <w:lvl w:ilvl="8" w:tplc="236EBDC2">
      <w:numFmt w:val="bullet"/>
      <w:lvlText w:val="•"/>
      <w:lvlJc w:val="left"/>
      <w:pPr>
        <w:ind w:left="7848" w:hanging="360"/>
      </w:pPr>
      <w:rPr>
        <w:rFonts w:hint="default"/>
        <w:lang w:val="en-US" w:eastAsia="en-US" w:bidi="ar-SA"/>
      </w:rPr>
    </w:lvl>
  </w:abstractNum>
  <w:abstractNum w:abstractNumId="7" w15:restartNumberingAfterBreak="0">
    <w:nsid w:val="3880548B"/>
    <w:multiLevelType w:val="hybridMultilevel"/>
    <w:tmpl w:val="3D1820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934385A"/>
    <w:multiLevelType w:val="hybridMultilevel"/>
    <w:tmpl w:val="416E8198"/>
    <w:lvl w:ilvl="0" w:tplc="1AC8CAF2">
      <w:start w:val="1"/>
      <w:numFmt w:val="bullet"/>
      <w:pStyle w:val="Tablebullet"/>
      <w:lvlText w:val=""/>
      <w:lvlJc w:val="left"/>
      <w:pPr>
        <w:tabs>
          <w:tab w:val="num" w:pos="2160"/>
        </w:tabs>
        <w:ind w:left="21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A267169"/>
    <w:multiLevelType w:val="hybridMultilevel"/>
    <w:tmpl w:val="D346DB02"/>
    <w:lvl w:ilvl="0" w:tplc="0409000F">
      <w:start w:val="1"/>
      <w:numFmt w:val="decimal"/>
      <w:lvlText w:val="%1."/>
      <w:lvlJc w:val="left"/>
      <w:pPr>
        <w:ind w:left="839" w:hanging="360"/>
      </w:pPr>
    </w:lvl>
    <w:lvl w:ilvl="1" w:tplc="04090019" w:tentative="1">
      <w:start w:val="1"/>
      <w:numFmt w:val="lowerLetter"/>
      <w:lvlText w:val="%2."/>
      <w:lvlJc w:val="left"/>
      <w:pPr>
        <w:ind w:left="1559" w:hanging="360"/>
      </w:pPr>
    </w:lvl>
    <w:lvl w:ilvl="2" w:tplc="0409001B" w:tentative="1">
      <w:start w:val="1"/>
      <w:numFmt w:val="lowerRoman"/>
      <w:lvlText w:val="%3."/>
      <w:lvlJc w:val="right"/>
      <w:pPr>
        <w:ind w:left="2279" w:hanging="180"/>
      </w:pPr>
    </w:lvl>
    <w:lvl w:ilvl="3" w:tplc="0409000F" w:tentative="1">
      <w:start w:val="1"/>
      <w:numFmt w:val="decimal"/>
      <w:lvlText w:val="%4."/>
      <w:lvlJc w:val="left"/>
      <w:pPr>
        <w:ind w:left="2999" w:hanging="360"/>
      </w:pPr>
    </w:lvl>
    <w:lvl w:ilvl="4" w:tplc="04090019" w:tentative="1">
      <w:start w:val="1"/>
      <w:numFmt w:val="lowerLetter"/>
      <w:lvlText w:val="%5."/>
      <w:lvlJc w:val="left"/>
      <w:pPr>
        <w:ind w:left="3719" w:hanging="360"/>
      </w:pPr>
    </w:lvl>
    <w:lvl w:ilvl="5" w:tplc="0409001B" w:tentative="1">
      <w:start w:val="1"/>
      <w:numFmt w:val="lowerRoman"/>
      <w:lvlText w:val="%6."/>
      <w:lvlJc w:val="right"/>
      <w:pPr>
        <w:ind w:left="4439" w:hanging="180"/>
      </w:pPr>
    </w:lvl>
    <w:lvl w:ilvl="6" w:tplc="0409000F" w:tentative="1">
      <w:start w:val="1"/>
      <w:numFmt w:val="decimal"/>
      <w:lvlText w:val="%7."/>
      <w:lvlJc w:val="left"/>
      <w:pPr>
        <w:ind w:left="5159" w:hanging="360"/>
      </w:pPr>
    </w:lvl>
    <w:lvl w:ilvl="7" w:tplc="04090019" w:tentative="1">
      <w:start w:val="1"/>
      <w:numFmt w:val="lowerLetter"/>
      <w:lvlText w:val="%8."/>
      <w:lvlJc w:val="left"/>
      <w:pPr>
        <w:ind w:left="5879" w:hanging="360"/>
      </w:pPr>
    </w:lvl>
    <w:lvl w:ilvl="8" w:tplc="0409001B" w:tentative="1">
      <w:start w:val="1"/>
      <w:numFmt w:val="lowerRoman"/>
      <w:lvlText w:val="%9."/>
      <w:lvlJc w:val="right"/>
      <w:pPr>
        <w:ind w:left="6599" w:hanging="180"/>
      </w:pPr>
    </w:lvl>
  </w:abstractNum>
  <w:abstractNum w:abstractNumId="10" w15:restartNumberingAfterBreak="0">
    <w:nsid w:val="3DD96059"/>
    <w:multiLevelType w:val="hybridMultilevel"/>
    <w:tmpl w:val="2D428352"/>
    <w:lvl w:ilvl="0" w:tplc="3264A242">
      <w:start w:val="1"/>
      <w:numFmt w:val="bullet"/>
      <w:lvlText w:val="◦"/>
      <w:lvlJc w:val="left"/>
      <w:pPr>
        <w:ind w:left="1800" w:hanging="360"/>
      </w:pPr>
      <w:rPr>
        <w:rFonts w:ascii="Calibri" w:hAnsi="Calibr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 w15:restartNumberingAfterBreak="0">
    <w:nsid w:val="4DD353DC"/>
    <w:multiLevelType w:val="hybridMultilevel"/>
    <w:tmpl w:val="AE3222F6"/>
    <w:lvl w:ilvl="0" w:tplc="C3E0E14C">
      <w:start w:val="1"/>
      <w:numFmt w:val="bullet"/>
      <w:pStyle w:val="ListBullet2"/>
      <w:lvlText w:val="–"/>
      <w:lvlJc w:val="left"/>
      <w:pPr>
        <w:ind w:left="1800" w:hanging="360"/>
      </w:pPr>
      <w:rPr>
        <w:rFonts w:ascii="Arial" w:hAnsi="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58B72A48"/>
    <w:multiLevelType w:val="multilevel"/>
    <w:tmpl w:val="260AAE4E"/>
    <w:lvl w:ilvl="0">
      <w:start w:val="1"/>
      <w:numFmt w:val="decimal"/>
      <w:lvlText w:val="%1.  "/>
      <w:lvlJc w:val="center"/>
      <w:pPr>
        <w:tabs>
          <w:tab w:val="num" w:pos="864"/>
        </w:tabs>
        <w:ind w:left="864" w:hanging="864"/>
      </w:pPr>
      <w:rPr>
        <w:rFonts w:ascii="Helvetica" w:hAnsi="Helvetica" w:cs="Times New Roman" w:hint="default"/>
        <w:b/>
        <w:bCs w:val="0"/>
        <w:i/>
        <w:iCs w:val="0"/>
        <w:caps w:val="0"/>
        <w:strike w:val="0"/>
        <w:dstrike w:val="0"/>
        <w:vanish w:val="0"/>
        <w:color w:val="000000"/>
        <w:spacing w:val="0"/>
        <w:kern w:val="0"/>
        <w:position w:val="0"/>
        <w:sz w:val="40"/>
        <w:szCs w:val="4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864"/>
        </w:tabs>
        <w:ind w:left="864" w:hanging="864"/>
      </w:pPr>
      <w:rPr>
        <w:rFonts w:ascii="Arial Bold" w:hAnsi="Arial Bold" w:hint="default"/>
        <w:b/>
        <w:i w:val="0"/>
        <w:sz w:val="28"/>
        <w:szCs w:val="28"/>
      </w:rPr>
    </w:lvl>
    <w:lvl w:ilvl="2">
      <w:start w:val="1"/>
      <w:numFmt w:val="decimal"/>
      <w:lvlText w:val="%1.%2.%3"/>
      <w:lvlJc w:val="left"/>
      <w:pPr>
        <w:tabs>
          <w:tab w:val="num" w:pos="864"/>
        </w:tabs>
        <w:ind w:left="864" w:hanging="864"/>
      </w:pPr>
      <w:rPr>
        <w:rFonts w:ascii="Arial Bold" w:hAnsi="Arial Bold" w:hint="default"/>
        <w:b/>
        <w:i w:val="0"/>
        <w:sz w:val="24"/>
        <w:szCs w:val="24"/>
      </w:rPr>
    </w:lvl>
    <w:lvl w:ilvl="3">
      <w:start w:val="1"/>
      <w:numFmt w:val="decimal"/>
      <w:lvlText w:val="%1.%2.%3.%4"/>
      <w:lvlJc w:val="left"/>
      <w:pPr>
        <w:tabs>
          <w:tab w:val="num" w:pos="864"/>
        </w:tabs>
        <w:ind w:left="864" w:hanging="864"/>
      </w:pPr>
      <w:rPr>
        <w:rFonts w:ascii="Arial Black" w:hAnsi="Arial Black" w:hint="default"/>
        <w:b w:val="0"/>
        <w:i w:val="0"/>
        <w:sz w:val="20"/>
        <w:szCs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15:restartNumberingAfterBreak="0">
    <w:nsid w:val="626C0420"/>
    <w:multiLevelType w:val="hybridMultilevel"/>
    <w:tmpl w:val="37949FB0"/>
    <w:lvl w:ilvl="0" w:tplc="5EAC4DCE">
      <w:start w:val="1"/>
      <w:numFmt w:val="upperLetter"/>
      <w:pStyle w:val="Letteredlist"/>
      <w:lvlText w:val="%1."/>
      <w:lvlJc w:val="left"/>
      <w:pPr>
        <w:tabs>
          <w:tab w:val="num" w:pos="720"/>
        </w:tabs>
        <w:ind w:left="720" w:hanging="360"/>
      </w:pPr>
      <w:rPr>
        <w:rFonts w:hint="default"/>
        <w:b w:val="0"/>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64CA63C7"/>
    <w:multiLevelType w:val="hybridMultilevel"/>
    <w:tmpl w:val="8334E852"/>
    <w:lvl w:ilvl="0" w:tplc="80CC83B0">
      <w:numFmt w:val="decimal"/>
      <w:pStyle w:val="Steps"/>
      <w:lvlText w:val="Step %1."/>
      <w:lvlJc w:val="left"/>
      <w:pPr>
        <w:tabs>
          <w:tab w:val="num" w:pos="900"/>
        </w:tabs>
        <w:ind w:left="900" w:hanging="900"/>
      </w:pPr>
      <w:rPr>
        <w:rFonts w:hint="default"/>
        <w:b/>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65874250"/>
    <w:multiLevelType w:val="hybridMultilevel"/>
    <w:tmpl w:val="728CD20E"/>
    <w:lvl w:ilvl="0" w:tplc="EB083F20">
      <w:start w:val="1"/>
      <w:numFmt w:val="bullet"/>
      <w:pStyle w:val="ListBullet"/>
      <w:lvlText w:val=""/>
      <w:lvlJc w:val="left"/>
      <w:pPr>
        <w:tabs>
          <w:tab w:val="num" w:pos="1440"/>
        </w:tabs>
        <w:ind w:left="1440" w:hanging="360"/>
      </w:pPr>
      <w:rPr>
        <w:rFonts w:ascii="Wingdings" w:hAnsi="Wingdings" w:hint="default"/>
        <w:color w:val="auto"/>
        <w:sz w:val="20"/>
        <w:vertAlign w:val="base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61D4277"/>
    <w:multiLevelType w:val="hybridMultilevel"/>
    <w:tmpl w:val="1D7C9A6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708B4EB4"/>
    <w:multiLevelType w:val="hybridMultilevel"/>
    <w:tmpl w:val="66C06AAC"/>
    <w:lvl w:ilvl="0" w:tplc="25302B08">
      <w:start w:val="1"/>
      <w:numFmt w:val="bullet"/>
      <w:pStyle w:val="bullets"/>
      <w:lvlText w:val=""/>
      <w:lvlJc w:val="left"/>
      <w:pPr>
        <w:tabs>
          <w:tab w:val="num" w:pos="1440"/>
        </w:tabs>
        <w:ind w:left="1440" w:hanging="360"/>
      </w:pPr>
      <w:rPr>
        <w:rFonts w:ascii="Wingdings" w:hAnsi="Wingdings" w:hint="default"/>
      </w:rPr>
    </w:lvl>
    <w:lvl w:ilvl="1" w:tplc="8154EABE">
      <w:start w:val="1"/>
      <w:numFmt w:val="decimal"/>
      <w:pStyle w:val="bullets-2ndlevel"/>
      <w:lvlText w:val="%2."/>
      <w:lvlJc w:val="left"/>
      <w:pPr>
        <w:tabs>
          <w:tab w:val="num" w:pos="2160"/>
        </w:tabs>
        <w:ind w:left="2160" w:hanging="360"/>
      </w:pPr>
      <w:rPr>
        <w:rFonts w:hint="default"/>
      </w:rPr>
    </w:lvl>
    <w:lvl w:ilvl="2" w:tplc="04090003">
      <w:start w:val="1"/>
      <w:numFmt w:val="bullet"/>
      <w:lvlText w:val="o"/>
      <w:lvlJc w:val="left"/>
      <w:pPr>
        <w:tabs>
          <w:tab w:val="num" w:pos="2880"/>
        </w:tabs>
        <w:ind w:left="2880" w:hanging="360"/>
      </w:pPr>
      <w:rPr>
        <w:rFonts w:ascii="Courier New" w:hAnsi="Courier New" w:cs="Courier New" w:hint="default"/>
      </w:rPr>
    </w:lvl>
    <w:lvl w:ilvl="3" w:tplc="04090001">
      <w:start w:val="1"/>
      <w:numFmt w:val="bullet"/>
      <w:lvlText w:val=""/>
      <w:lvlJc w:val="left"/>
      <w:pPr>
        <w:tabs>
          <w:tab w:val="num" w:pos="3600"/>
        </w:tabs>
        <w:ind w:left="3600" w:hanging="360"/>
      </w:pPr>
      <w:rPr>
        <w:rFonts w:ascii="Symbol" w:hAnsi="Symbol" w:hint="default"/>
      </w:rPr>
    </w:lvl>
    <w:lvl w:ilvl="4" w:tplc="C8F02904">
      <w:start w:val="1"/>
      <w:numFmt w:val="bullet"/>
      <w:lvlText w:val="-"/>
      <w:lvlJc w:val="left"/>
      <w:pPr>
        <w:tabs>
          <w:tab w:val="num" w:pos="4320"/>
        </w:tabs>
        <w:ind w:left="4320" w:hanging="360"/>
      </w:pPr>
      <w:rPr>
        <w:rFonts w:ascii="Courier New" w:hAnsi="Courier New" w:hint="default"/>
      </w:rPr>
    </w:lvl>
    <w:lvl w:ilvl="5" w:tplc="04090005">
      <w:start w:val="1"/>
      <w:numFmt w:val="bullet"/>
      <w:lvlText w:val=""/>
      <w:lvlJc w:val="left"/>
      <w:pPr>
        <w:tabs>
          <w:tab w:val="num" w:pos="5040"/>
        </w:tabs>
        <w:ind w:left="5040" w:hanging="360"/>
      </w:pPr>
      <w:rPr>
        <w:rFonts w:ascii="Wingdings" w:hAnsi="Wingdings" w:hint="default"/>
      </w:rPr>
    </w:lvl>
    <w:lvl w:ilvl="6" w:tplc="04090001">
      <w:start w:val="1"/>
      <w:numFmt w:val="bullet"/>
      <w:lvlText w:val=""/>
      <w:lvlJc w:val="left"/>
      <w:pPr>
        <w:tabs>
          <w:tab w:val="num" w:pos="5760"/>
        </w:tabs>
        <w:ind w:left="5760" w:hanging="360"/>
      </w:pPr>
      <w:rPr>
        <w:rFonts w:ascii="Symbol" w:hAnsi="Symbol" w:hint="default"/>
      </w:rPr>
    </w:lvl>
    <w:lvl w:ilvl="7" w:tplc="04090003">
      <w:start w:val="1"/>
      <w:numFmt w:val="bullet"/>
      <w:lvlText w:val="o"/>
      <w:lvlJc w:val="left"/>
      <w:pPr>
        <w:tabs>
          <w:tab w:val="num" w:pos="6480"/>
        </w:tabs>
        <w:ind w:left="6480" w:hanging="360"/>
      </w:pPr>
      <w:rPr>
        <w:rFonts w:ascii="Courier New" w:hAnsi="Courier New" w:hint="default"/>
      </w:rPr>
    </w:lvl>
    <w:lvl w:ilvl="8" w:tplc="04090005">
      <w:start w:val="1"/>
      <w:numFmt w:val="bullet"/>
      <w:lvlText w:val=""/>
      <w:lvlJc w:val="left"/>
      <w:pPr>
        <w:tabs>
          <w:tab w:val="num" w:pos="7200"/>
        </w:tabs>
        <w:ind w:left="7200" w:hanging="360"/>
      </w:pPr>
      <w:rPr>
        <w:rFonts w:ascii="Wingdings" w:hAnsi="Wingdings" w:hint="default"/>
      </w:rPr>
    </w:lvl>
  </w:abstractNum>
  <w:abstractNum w:abstractNumId="18" w15:restartNumberingAfterBreak="0">
    <w:nsid w:val="71976C2C"/>
    <w:multiLevelType w:val="hybridMultilevel"/>
    <w:tmpl w:val="D85E2A8C"/>
    <w:lvl w:ilvl="0" w:tplc="B0367B4A">
      <w:start w:val="1"/>
      <w:numFmt w:val="bullet"/>
      <w:pStyle w:val="Bullet1"/>
      <w:lvlText w:val=""/>
      <w:lvlJc w:val="left"/>
      <w:pPr>
        <w:tabs>
          <w:tab w:val="num" w:pos="780"/>
        </w:tabs>
        <w:ind w:left="780" w:hanging="360"/>
      </w:pPr>
      <w:rPr>
        <w:rFonts w:ascii="Wingdings" w:hAnsi="Wingdings" w:hint="default"/>
        <w:color w:val="3B5984"/>
        <w:sz w:val="24"/>
        <w:szCs w:val="18"/>
      </w:rPr>
    </w:lvl>
    <w:lvl w:ilvl="1" w:tplc="04090003">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787B5690"/>
    <w:multiLevelType w:val="hybridMultilevel"/>
    <w:tmpl w:val="1F869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7570701">
    <w:abstractNumId w:val="16"/>
  </w:num>
  <w:num w:numId="2" w16cid:durableId="1925719367">
    <w:abstractNumId w:val="18"/>
  </w:num>
  <w:num w:numId="3" w16cid:durableId="478884623">
    <w:abstractNumId w:val="17"/>
  </w:num>
  <w:num w:numId="4" w16cid:durableId="252708930">
    <w:abstractNumId w:val="12"/>
  </w:num>
  <w:num w:numId="5" w16cid:durableId="384447968">
    <w:abstractNumId w:val="0"/>
  </w:num>
  <w:num w:numId="6" w16cid:durableId="1088042097">
    <w:abstractNumId w:val="13"/>
  </w:num>
  <w:num w:numId="7" w16cid:durableId="1913852205">
    <w:abstractNumId w:val="10"/>
  </w:num>
  <w:num w:numId="8" w16cid:durableId="2058816198">
    <w:abstractNumId w:val="15"/>
  </w:num>
  <w:num w:numId="9" w16cid:durableId="1702509148">
    <w:abstractNumId w:val="4"/>
  </w:num>
  <w:num w:numId="10" w16cid:durableId="334304371">
    <w:abstractNumId w:val="14"/>
  </w:num>
  <w:num w:numId="11" w16cid:durableId="1165513756">
    <w:abstractNumId w:val="5"/>
  </w:num>
  <w:num w:numId="12" w16cid:durableId="354039645">
    <w:abstractNumId w:val="8"/>
  </w:num>
  <w:num w:numId="13" w16cid:durableId="88238943">
    <w:abstractNumId w:val="1"/>
  </w:num>
  <w:num w:numId="14" w16cid:durableId="1565526451">
    <w:abstractNumId w:val="11"/>
  </w:num>
  <w:num w:numId="15" w16cid:durableId="1252352656">
    <w:abstractNumId w:val="4"/>
    <w:lvlOverride w:ilvl="0">
      <w:startOverride w:val="1"/>
    </w:lvlOverride>
  </w:num>
  <w:num w:numId="16" w16cid:durableId="1881091105">
    <w:abstractNumId w:val="7"/>
  </w:num>
  <w:num w:numId="17" w16cid:durableId="1023481066">
    <w:abstractNumId w:val="2"/>
  </w:num>
  <w:num w:numId="18" w16cid:durableId="764227602">
    <w:abstractNumId w:val="9"/>
  </w:num>
  <w:num w:numId="19" w16cid:durableId="1159032921">
    <w:abstractNumId w:val="3"/>
  </w:num>
  <w:num w:numId="20" w16cid:durableId="1080637328">
    <w:abstractNumId w:val="6"/>
  </w:num>
  <w:num w:numId="21" w16cid:durableId="615407682">
    <w:abstractNumId w:val="19"/>
  </w:num>
  <w:num w:numId="22" w16cid:durableId="214506045">
    <w:abstractNumId w:val="4"/>
    <w:lvlOverride w:ilvl="0">
      <w:startOverride w:val="1"/>
    </w:lvlOverride>
  </w:num>
  <w:num w:numId="23" w16cid:durableId="1121805617">
    <w:abstractNumId w:val="4"/>
    <w:lvlOverride w:ilvl="0">
      <w:startOverride w:val="1"/>
    </w:lvlOverride>
  </w:num>
  <w:num w:numId="24" w16cid:durableId="181894747">
    <w:abstractNumId w:val="4"/>
    <w:lvlOverride w:ilvl="0">
      <w:startOverride w:val="1"/>
    </w:lvlOverride>
  </w:num>
  <w:num w:numId="25" w16cid:durableId="1011108799">
    <w:abstractNumId w:val="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6815"/>
    <w:rsid w:val="00076B85"/>
    <w:rsid w:val="0008108A"/>
    <w:rsid w:val="000F1955"/>
    <w:rsid w:val="000F6815"/>
    <w:rsid w:val="0016649A"/>
    <w:rsid w:val="00173C25"/>
    <w:rsid w:val="0018427C"/>
    <w:rsid w:val="001925FE"/>
    <w:rsid w:val="001A3062"/>
    <w:rsid w:val="001D1E39"/>
    <w:rsid w:val="00253FB5"/>
    <w:rsid w:val="00290169"/>
    <w:rsid w:val="003309B4"/>
    <w:rsid w:val="003432DC"/>
    <w:rsid w:val="00347221"/>
    <w:rsid w:val="003A78B0"/>
    <w:rsid w:val="003B5BED"/>
    <w:rsid w:val="003D07E2"/>
    <w:rsid w:val="00427C11"/>
    <w:rsid w:val="004D147B"/>
    <w:rsid w:val="005D1672"/>
    <w:rsid w:val="00603EE1"/>
    <w:rsid w:val="00615E90"/>
    <w:rsid w:val="006C0797"/>
    <w:rsid w:val="006F291F"/>
    <w:rsid w:val="00733E31"/>
    <w:rsid w:val="00736BC5"/>
    <w:rsid w:val="00775A97"/>
    <w:rsid w:val="00791348"/>
    <w:rsid w:val="007E3105"/>
    <w:rsid w:val="008327D4"/>
    <w:rsid w:val="008917EF"/>
    <w:rsid w:val="00911CBD"/>
    <w:rsid w:val="00943F44"/>
    <w:rsid w:val="00973056"/>
    <w:rsid w:val="009F46D7"/>
    <w:rsid w:val="00AA62CD"/>
    <w:rsid w:val="00AD7ABE"/>
    <w:rsid w:val="00AE126E"/>
    <w:rsid w:val="00B174C2"/>
    <w:rsid w:val="00C648BA"/>
    <w:rsid w:val="00CE1927"/>
    <w:rsid w:val="00DC43BD"/>
    <w:rsid w:val="00DC6D96"/>
    <w:rsid w:val="00DD31BA"/>
    <w:rsid w:val="00E2636A"/>
    <w:rsid w:val="00EB063B"/>
    <w:rsid w:val="00F2542F"/>
    <w:rsid w:val="00F5165D"/>
    <w:rsid w:val="00F65FC4"/>
    <w:rsid w:val="00FD2B5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B2F34F"/>
  <w15:chartTrackingRefBased/>
  <w15:docId w15:val="{7EF100E7-BDF5-4A43-9508-75AF890BAE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1"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9"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9" w:qFormat="1"/>
    <w:lsdException w:name="Emphasis" w:uiPriority="9" w:qFormat="1"/>
    <w:lsdException w:name="Document Map" w:semiHidden="1" w:uiPriority="9" w:unhideWhenUsed="1"/>
    <w:lsdException w:name="Plain Text" w:semiHidden="1" w:uiPriority="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1"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6815"/>
  </w:style>
  <w:style w:type="paragraph" w:styleId="Heading1">
    <w:name w:val="heading 1"/>
    <w:basedOn w:val="Normal"/>
    <w:next w:val="Normal"/>
    <w:link w:val="Heading1Char"/>
    <w:qFormat/>
    <w:rsid w:val="00911CBD"/>
    <w:pPr>
      <w:keepNext/>
      <w:tabs>
        <w:tab w:val="left" w:pos="360"/>
      </w:tabs>
      <w:autoSpaceDE w:val="0"/>
      <w:autoSpaceDN w:val="0"/>
      <w:adjustRightInd w:val="0"/>
      <w:spacing w:before="240" w:after="60" w:line="240" w:lineRule="auto"/>
      <w:outlineLvl w:val="0"/>
    </w:pPr>
    <w:rPr>
      <w:rFonts w:ascii="Arial" w:eastAsia="Times New Roman" w:hAnsi="Arial" w:cs="Times New Roman"/>
      <w:b/>
      <w:bCs/>
      <w:color w:val="1F3864" w:themeColor="accent1" w:themeShade="80"/>
      <w:sz w:val="32"/>
      <w:szCs w:val="32"/>
      <w:lang w:val="en-CA"/>
    </w:rPr>
  </w:style>
  <w:style w:type="paragraph" w:styleId="Heading2">
    <w:name w:val="heading 2"/>
    <w:basedOn w:val="Normal"/>
    <w:next w:val="Normal"/>
    <w:link w:val="Heading2Char"/>
    <w:qFormat/>
    <w:rsid w:val="00911CBD"/>
    <w:pPr>
      <w:keepNext/>
      <w:widowControl w:val="0"/>
      <w:autoSpaceDE w:val="0"/>
      <w:autoSpaceDN w:val="0"/>
      <w:adjustRightInd w:val="0"/>
      <w:spacing w:before="240" w:after="60" w:line="240" w:lineRule="auto"/>
      <w:ind w:left="720" w:hanging="720"/>
      <w:outlineLvl w:val="1"/>
    </w:pPr>
    <w:rPr>
      <w:rFonts w:ascii="Arial" w:eastAsia="Times New Roman" w:hAnsi="Arial" w:cs="Arial"/>
      <w:b/>
      <w:bCs/>
      <w:i/>
      <w:iCs/>
      <w:color w:val="1F3864" w:themeColor="accent1" w:themeShade="80"/>
      <w:sz w:val="28"/>
      <w:szCs w:val="28"/>
    </w:rPr>
  </w:style>
  <w:style w:type="paragraph" w:styleId="Heading3">
    <w:name w:val="heading 3"/>
    <w:basedOn w:val="Normal"/>
    <w:next w:val="Normal"/>
    <w:link w:val="Heading3Char"/>
    <w:qFormat/>
    <w:rsid w:val="00911CBD"/>
    <w:pPr>
      <w:keepNext/>
      <w:widowControl w:val="0"/>
      <w:autoSpaceDE w:val="0"/>
      <w:autoSpaceDN w:val="0"/>
      <w:adjustRightInd w:val="0"/>
      <w:spacing w:before="240" w:after="60" w:line="240" w:lineRule="auto"/>
      <w:ind w:left="720" w:hanging="720"/>
      <w:outlineLvl w:val="2"/>
    </w:pPr>
    <w:rPr>
      <w:rFonts w:ascii="Arial" w:eastAsia="Times New Roman" w:hAnsi="Arial" w:cs="Times New Roman"/>
      <w:b/>
      <w:bCs/>
      <w:color w:val="1F3864" w:themeColor="accent1" w:themeShade="80"/>
      <w:sz w:val="24"/>
      <w:szCs w:val="26"/>
      <w:lang w:val="x-none" w:eastAsia="x-none"/>
    </w:rPr>
  </w:style>
  <w:style w:type="paragraph" w:styleId="Heading4">
    <w:name w:val="heading 4"/>
    <w:basedOn w:val="Normal"/>
    <w:next w:val="Normal"/>
    <w:link w:val="Heading4Char"/>
    <w:qFormat/>
    <w:rsid w:val="000F6815"/>
    <w:pPr>
      <w:keepNext/>
      <w:widowControl w:val="0"/>
      <w:tabs>
        <w:tab w:val="left" w:pos="900"/>
      </w:tabs>
      <w:autoSpaceDE w:val="0"/>
      <w:autoSpaceDN w:val="0"/>
      <w:adjustRightInd w:val="0"/>
      <w:spacing w:before="240" w:after="60" w:line="240" w:lineRule="auto"/>
      <w:ind w:left="907" w:hanging="907"/>
      <w:outlineLvl w:val="3"/>
    </w:pPr>
    <w:rPr>
      <w:rFonts w:ascii="Arial" w:eastAsia="Times New Roman" w:hAnsi="Arial" w:cs="Times New Roman"/>
      <w:b/>
      <w:bCs/>
      <w:sz w:val="24"/>
      <w:szCs w:val="28"/>
    </w:rPr>
  </w:style>
  <w:style w:type="paragraph" w:styleId="Heading5">
    <w:name w:val="heading 5"/>
    <w:basedOn w:val="Heading4"/>
    <w:next w:val="Normal"/>
    <w:link w:val="Heading5Char"/>
    <w:uiPriority w:val="1"/>
    <w:rsid w:val="000F6815"/>
    <w:pPr>
      <w:tabs>
        <w:tab w:val="clear" w:pos="900"/>
        <w:tab w:val="left" w:pos="720"/>
      </w:tabs>
      <w:ind w:left="720" w:firstLine="0"/>
      <w:outlineLvl w:val="4"/>
    </w:pPr>
    <w:rPr>
      <w:sz w:val="20"/>
    </w:rPr>
  </w:style>
  <w:style w:type="paragraph" w:styleId="Heading6">
    <w:name w:val="heading 6"/>
    <w:basedOn w:val="Normal"/>
    <w:next w:val="Normal"/>
    <w:link w:val="Heading6Char"/>
    <w:uiPriority w:val="9"/>
    <w:rsid w:val="000F6815"/>
    <w:pPr>
      <w:widowControl w:val="0"/>
      <w:tabs>
        <w:tab w:val="left" w:pos="162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620" w:hanging="180"/>
      <w:jc w:val="both"/>
      <w:outlineLvl w:val="5"/>
    </w:pPr>
    <w:rPr>
      <w:rFonts w:ascii="Times New Roman" w:eastAsia="Times New Roman" w:hAnsi="Times New Roman" w:cs="Times New Roman"/>
      <w:sz w:val="20"/>
      <w:szCs w:val="20"/>
    </w:rPr>
  </w:style>
  <w:style w:type="paragraph" w:styleId="Heading7">
    <w:name w:val="heading 7"/>
    <w:basedOn w:val="Normal"/>
    <w:next w:val="Normal"/>
    <w:link w:val="Heading7Char"/>
    <w:uiPriority w:val="9"/>
    <w:rsid w:val="000F6815"/>
    <w:pPr>
      <w:widowControl w:val="0"/>
      <w:numPr>
        <w:ilvl w:val="6"/>
        <w:numId w:val="4"/>
      </w:numPr>
      <w:autoSpaceDE w:val="0"/>
      <w:autoSpaceDN w:val="0"/>
      <w:adjustRightInd w:val="0"/>
      <w:spacing w:before="240" w:after="60" w:line="240" w:lineRule="auto"/>
      <w:outlineLvl w:val="6"/>
    </w:pPr>
    <w:rPr>
      <w:rFonts w:ascii="Times New Roman" w:eastAsia="Times New Roman" w:hAnsi="Times New Roman" w:cs="Times New Roman"/>
      <w:sz w:val="24"/>
      <w:szCs w:val="24"/>
    </w:rPr>
  </w:style>
  <w:style w:type="paragraph" w:styleId="Heading8">
    <w:name w:val="heading 8"/>
    <w:basedOn w:val="Normal"/>
    <w:next w:val="Normal"/>
    <w:link w:val="Heading8Char"/>
    <w:uiPriority w:val="9"/>
    <w:rsid w:val="000F6815"/>
    <w:pPr>
      <w:widowControl w:val="0"/>
      <w:numPr>
        <w:ilvl w:val="7"/>
        <w:numId w:val="4"/>
      </w:numPr>
      <w:autoSpaceDE w:val="0"/>
      <w:autoSpaceDN w:val="0"/>
      <w:adjustRightInd w:val="0"/>
      <w:spacing w:before="240" w:after="60" w:line="240" w:lineRule="auto"/>
      <w:outlineLvl w:val="7"/>
    </w:pPr>
    <w:rPr>
      <w:rFonts w:ascii="Times New Roman" w:eastAsia="Times New Roman" w:hAnsi="Times New Roman" w:cs="Times New Roman"/>
      <w:i/>
      <w:iCs/>
      <w:sz w:val="24"/>
      <w:szCs w:val="24"/>
    </w:rPr>
  </w:style>
  <w:style w:type="paragraph" w:styleId="Heading9">
    <w:name w:val="heading 9"/>
    <w:basedOn w:val="Normal"/>
    <w:next w:val="Normal"/>
    <w:link w:val="Heading9Char"/>
    <w:uiPriority w:val="9"/>
    <w:rsid w:val="000F6815"/>
    <w:pPr>
      <w:widowControl w:val="0"/>
      <w:numPr>
        <w:ilvl w:val="8"/>
        <w:numId w:val="4"/>
      </w:numPr>
      <w:tabs>
        <w:tab w:val="clear" w:pos="1584"/>
        <w:tab w:val="num" w:pos="360"/>
      </w:tabs>
      <w:autoSpaceDE w:val="0"/>
      <w:autoSpaceDN w:val="0"/>
      <w:adjustRightInd w:val="0"/>
      <w:spacing w:before="240" w:after="60" w:line="240" w:lineRule="auto"/>
      <w:outlineLvl w:val="8"/>
    </w:pPr>
    <w:rPr>
      <w:rFonts w:ascii="Arial" w:eastAsia="Times New Roman" w:hAnsi="Arial" w:cs="Arial"/>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11CBD"/>
    <w:rPr>
      <w:rFonts w:ascii="Arial" w:eastAsia="Times New Roman" w:hAnsi="Arial" w:cs="Times New Roman"/>
      <w:b/>
      <w:bCs/>
      <w:color w:val="1F3864" w:themeColor="accent1" w:themeShade="80"/>
      <w:sz w:val="32"/>
      <w:szCs w:val="32"/>
      <w:lang w:val="en-CA"/>
    </w:rPr>
  </w:style>
  <w:style w:type="character" w:customStyle="1" w:styleId="Heading2Char">
    <w:name w:val="Heading 2 Char"/>
    <w:basedOn w:val="DefaultParagraphFont"/>
    <w:link w:val="Heading2"/>
    <w:rsid w:val="00911CBD"/>
    <w:rPr>
      <w:rFonts w:ascii="Arial" w:eastAsia="Times New Roman" w:hAnsi="Arial" w:cs="Arial"/>
      <w:b/>
      <w:bCs/>
      <w:i/>
      <w:iCs/>
      <w:color w:val="1F3864" w:themeColor="accent1" w:themeShade="80"/>
      <w:sz w:val="28"/>
      <w:szCs w:val="28"/>
    </w:rPr>
  </w:style>
  <w:style w:type="character" w:customStyle="1" w:styleId="Heading3Char">
    <w:name w:val="Heading 3 Char"/>
    <w:basedOn w:val="DefaultParagraphFont"/>
    <w:link w:val="Heading3"/>
    <w:rsid w:val="00911CBD"/>
    <w:rPr>
      <w:rFonts w:ascii="Arial" w:eastAsia="Times New Roman" w:hAnsi="Arial" w:cs="Times New Roman"/>
      <w:b/>
      <w:bCs/>
      <w:color w:val="1F3864" w:themeColor="accent1" w:themeShade="80"/>
      <w:sz w:val="24"/>
      <w:szCs w:val="26"/>
      <w:lang w:val="x-none" w:eastAsia="x-none"/>
    </w:rPr>
  </w:style>
  <w:style w:type="character" w:customStyle="1" w:styleId="Heading4Char">
    <w:name w:val="Heading 4 Char"/>
    <w:basedOn w:val="DefaultParagraphFont"/>
    <w:link w:val="Heading4"/>
    <w:rsid w:val="000F6815"/>
    <w:rPr>
      <w:rFonts w:ascii="Arial" w:eastAsia="Times New Roman" w:hAnsi="Arial" w:cs="Times New Roman"/>
      <w:b/>
      <w:bCs/>
      <w:sz w:val="24"/>
      <w:szCs w:val="28"/>
    </w:rPr>
  </w:style>
  <w:style w:type="character" w:customStyle="1" w:styleId="Heading5Char">
    <w:name w:val="Heading 5 Char"/>
    <w:basedOn w:val="DefaultParagraphFont"/>
    <w:link w:val="Heading5"/>
    <w:uiPriority w:val="1"/>
    <w:rsid w:val="000F6815"/>
    <w:rPr>
      <w:rFonts w:ascii="Arial" w:eastAsia="Times New Roman" w:hAnsi="Arial" w:cs="Times New Roman"/>
      <w:b/>
      <w:bCs/>
      <w:sz w:val="20"/>
      <w:szCs w:val="28"/>
    </w:rPr>
  </w:style>
  <w:style w:type="character" w:customStyle="1" w:styleId="Heading6Char">
    <w:name w:val="Heading 6 Char"/>
    <w:basedOn w:val="DefaultParagraphFont"/>
    <w:link w:val="Heading6"/>
    <w:uiPriority w:val="9"/>
    <w:rsid w:val="000F6815"/>
    <w:rPr>
      <w:rFonts w:ascii="Times New Roman" w:eastAsia="Times New Roman" w:hAnsi="Times New Roman" w:cs="Times New Roman"/>
      <w:sz w:val="20"/>
      <w:szCs w:val="20"/>
    </w:rPr>
  </w:style>
  <w:style w:type="character" w:customStyle="1" w:styleId="Heading7Char">
    <w:name w:val="Heading 7 Char"/>
    <w:basedOn w:val="DefaultParagraphFont"/>
    <w:link w:val="Heading7"/>
    <w:uiPriority w:val="9"/>
    <w:rsid w:val="000F6815"/>
    <w:rPr>
      <w:rFonts w:ascii="Times New Roman" w:eastAsia="Times New Roman" w:hAnsi="Times New Roman" w:cs="Times New Roman"/>
      <w:sz w:val="24"/>
      <w:szCs w:val="24"/>
    </w:rPr>
  </w:style>
  <w:style w:type="character" w:customStyle="1" w:styleId="Heading8Char">
    <w:name w:val="Heading 8 Char"/>
    <w:basedOn w:val="DefaultParagraphFont"/>
    <w:link w:val="Heading8"/>
    <w:uiPriority w:val="9"/>
    <w:rsid w:val="000F6815"/>
    <w:rPr>
      <w:rFonts w:ascii="Times New Roman" w:eastAsia="Times New Roman" w:hAnsi="Times New Roman" w:cs="Times New Roman"/>
      <w:i/>
      <w:iCs/>
      <w:sz w:val="24"/>
      <w:szCs w:val="24"/>
    </w:rPr>
  </w:style>
  <w:style w:type="character" w:customStyle="1" w:styleId="Heading9Char">
    <w:name w:val="Heading 9 Char"/>
    <w:basedOn w:val="DefaultParagraphFont"/>
    <w:link w:val="Heading9"/>
    <w:uiPriority w:val="9"/>
    <w:rsid w:val="000F6815"/>
    <w:rPr>
      <w:rFonts w:ascii="Arial" w:eastAsia="Times New Roman" w:hAnsi="Arial" w:cs="Arial"/>
      <w:sz w:val="24"/>
    </w:rPr>
  </w:style>
  <w:style w:type="paragraph" w:customStyle="1" w:styleId="Level1">
    <w:name w:val="Level 1"/>
    <w:semiHidden/>
    <w:rsid w:val="000F6815"/>
    <w:pPr>
      <w:widowControl w:val="0"/>
      <w:autoSpaceDE w:val="0"/>
      <w:autoSpaceDN w:val="0"/>
      <w:adjustRightInd w:val="0"/>
      <w:spacing w:after="0" w:line="240" w:lineRule="auto"/>
      <w:ind w:left="720"/>
      <w:jc w:val="both"/>
    </w:pPr>
    <w:rPr>
      <w:rFonts w:ascii="Times New Roman" w:eastAsia="Times New Roman" w:hAnsi="Times New Roman" w:cs="Times New Roman"/>
      <w:sz w:val="24"/>
      <w:szCs w:val="24"/>
    </w:rPr>
  </w:style>
  <w:style w:type="paragraph" w:customStyle="1" w:styleId="Level2">
    <w:name w:val="Level 2"/>
    <w:semiHidden/>
    <w:rsid w:val="000F6815"/>
    <w:pPr>
      <w:widowControl w:val="0"/>
      <w:autoSpaceDE w:val="0"/>
      <w:autoSpaceDN w:val="0"/>
      <w:adjustRightInd w:val="0"/>
      <w:spacing w:after="0" w:line="240" w:lineRule="auto"/>
      <w:ind w:left="1440"/>
      <w:jc w:val="both"/>
    </w:pPr>
    <w:rPr>
      <w:rFonts w:ascii="Times New Roman" w:eastAsia="Times New Roman" w:hAnsi="Times New Roman" w:cs="Times New Roman"/>
      <w:sz w:val="24"/>
      <w:szCs w:val="24"/>
    </w:rPr>
  </w:style>
  <w:style w:type="paragraph" w:customStyle="1" w:styleId="Level3">
    <w:name w:val="Level 3"/>
    <w:semiHidden/>
    <w:rsid w:val="000F6815"/>
    <w:pPr>
      <w:widowControl w:val="0"/>
      <w:autoSpaceDE w:val="0"/>
      <w:autoSpaceDN w:val="0"/>
      <w:adjustRightInd w:val="0"/>
      <w:spacing w:after="0" w:line="240" w:lineRule="auto"/>
      <w:ind w:left="2160"/>
      <w:jc w:val="both"/>
    </w:pPr>
    <w:rPr>
      <w:rFonts w:ascii="Times New Roman" w:eastAsia="Times New Roman" w:hAnsi="Times New Roman" w:cs="Times New Roman"/>
      <w:sz w:val="24"/>
      <w:szCs w:val="24"/>
    </w:rPr>
  </w:style>
  <w:style w:type="paragraph" w:customStyle="1" w:styleId="Level4">
    <w:name w:val="Level 4"/>
    <w:semiHidden/>
    <w:rsid w:val="000F6815"/>
    <w:pPr>
      <w:widowControl w:val="0"/>
      <w:autoSpaceDE w:val="0"/>
      <w:autoSpaceDN w:val="0"/>
      <w:adjustRightInd w:val="0"/>
      <w:spacing w:after="0" w:line="240" w:lineRule="auto"/>
      <w:ind w:left="2880"/>
      <w:jc w:val="both"/>
    </w:pPr>
    <w:rPr>
      <w:rFonts w:ascii="Times New Roman" w:eastAsia="Times New Roman" w:hAnsi="Times New Roman" w:cs="Times New Roman"/>
      <w:sz w:val="24"/>
      <w:szCs w:val="24"/>
    </w:rPr>
  </w:style>
  <w:style w:type="paragraph" w:customStyle="1" w:styleId="Level5">
    <w:name w:val="Level 5"/>
    <w:semiHidden/>
    <w:rsid w:val="000F6815"/>
    <w:pPr>
      <w:widowControl w:val="0"/>
      <w:autoSpaceDE w:val="0"/>
      <w:autoSpaceDN w:val="0"/>
      <w:adjustRightInd w:val="0"/>
      <w:spacing w:after="0" w:line="240" w:lineRule="auto"/>
      <w:ind w:left="3600"/>
      <w:jc w:val="both"/>
    </w:pPr>
    <w:rPr>
      <w:rFonts w:ascii="Times New Roman" w:eastAsia="Times New Roman" w:hAnsi="Times New Roman" w:cs="Times New Roman"/>
      <w:sz w:val="24"/>
      <w:szCs w:val="24"/>
    </w:rPr>
  </w:style>
  <w:style w:type="paragraph" w:customStyle="1" w:styleId="Level6">
    <w:name w:val="Level 6"/>
    <w:semiHidden/>
    <w:rsid w:val="000F6815"/>
    <w:pPr>
      <w:widowControl w:val="0"/>
      <w:autoSpaceDE w:val="0"/>
      <w:autoSpaceDN w:val="0"/>
      <w:adjustRightInd w:val="0"/>
      <w:spacing w:after="0" w:line="240" w:lineRule="auto"/>
      <w:ind w:left="4320"/>
      <w:jc w:val="both"/>
    </w:pPr>
    <w:rPr>
      <w:rFonts w:ascii="Times New Roman" w:eastAsia="Times New Roman" w:hAnsi="Times New Roman" w:cs="Times New Roman"/>
      <w:sz w:val="24"/>
      <w:szCs w:val="24"/>
    </w:rPr>
  </w:style>
  <w:style w:type="paragraph" w:customStyle="1" w:styleId="Level7">
    <w:name w:val="Level 7"/>
    <w:semiHidden/>
    <w:rsid w:val="000F6815"/>
    <w:pPr>
      <w:widowControl w:val="0"/>
      <w:autoSpaceDE w:val="0"/>
      <w:autoSpaceDN w:val="0"/>
      <w:adjustRightInd w:val="0"/>
      <w:spacing w:after="0" w:line="240" w:lineRule="auto"/>
      <w:ind w:left="5040"/>
      <w:jc w:val="both"/>
    </w:pPr>
    <w:rPr>
      <w:rFonts w:ascii="Times New Roman" w:eastAsia="Times New Roman" w:hAnsi="Times New Roman" w:cs="Times New Roman"/>
      <w:sz w:val="24"/>
      <w:szCs w:val="24"/>
    </w:rPr>
  </w:style>
  <w:style w:type="paragraph" w:customStyle="1" w:styleId="Level8">
    <w:name w:val="Level 8"/>
    <w:semiHidden/>
    <w:rsid w:val="000F6815"/>
    <w:pPr>
      <w:widowControl w:val="0"/>
      <w:autoSpaceDE w:val="0"/>
      <w:autoSpaceDN w:val="0"/>
      <w:adjustRightInd w:val="0"/>
      <w:spacing w:after="0" w:line="240" w:lineRule="auto"/>
      <w:ind w:left="5760"/>
      <w:jc w:val="both"/>
    </w:pPr>
    <w:rPr>
      <w:rFonts w:ascii="Times New Roman" w:eastAsia="Times New Roman" w:hAnsi="Times New Roman" w:cs="Times New Roman"/>
      <w:sz w:val="24"/>
      <w:szCs w:val="24"/>
    </w:rPr>
  </w:style>
  <w:style w:type="paragraph" w:customStyle="1" w:styleId="Level9">
    <w:name w:val="Level 9"/>
    <w:semiHidden/>
    <w:rsid w:val="000F6815"/>
    <w:pPr>
      <w:widowControl w:val="0"/>
      <w:autoSpaceDE w:val="0"/>
      <w:autoSpaceDN w:val="0"/>
      <w:adjustRightInd w:val="0"/>
      <w:spacing w:after="0" w:line="240" w:lineRule="auto"/>
      <w:ind w:left="6480"/>
      <w:jc w:val="both"/>
    </w:pPr>
    <w:rPr>
      <w:rFonts w:ascii="Times New Roman" w:eastAsia="Times New Roman" w:hAnsi="Times New Roman" w:cs="Times New Roman"/>
      <w:sz w:val="24"/>
      <w:szCs w:val="24"/>
    </w:rPr>
  </w:style>
  <w:style w:type="paragraph" w:styleId="BodyText">
    <w:name w:val="Body Text"/>
    <w:basedOn w:val="Normal"/>
    <w:link w:val="BodyTextChar"/>
    <w:qFormat/>
    <w:rsid w:val="000F6815"/>
    <w:pPr>
      <w:autoSpaceDE w:val="0"/>
      <w:autoSpaceDN w:val="0"/>
      <w:adjustRightInd w:val="0"/>
      <w:spacing w:before="120" w:after="120" w:line="240" w:lineRule="auto"/>
    </w:pPr>
    <w:rPr>
      <w:rFonts w:ascii="Times New Roman" w:eastAsia="Times New Roman" w:hAnsi="Times New Roman" w:cs="Times New Roman"/>
      <w:sz w:val="24"/>
      <w:szCs w:val="24"/>
      <w:lang w:eastAsia="x-none"/>
    </w:rPr>
  </w:style>
  <w:style w:type="character" w:customStyle="1" w:styleId="BodyTextChar">
    <w:name w:val="Body Text Char"/>
    <w:basedOn w:val="DefaultParagraphFont"/>
    <w:link w:val="BodyText"/>
    <w:rsid w:val="000F6815"/>
    <w:rPr>
      <w:rFonts w:ascii="Times New Roman" w:eastAsia="Times New Roman" w:hAnsi="Times New Roman" w:cs="Times New Roman"/>
      <w:sz w:val="24"/>
      <w:szCs w:val="24"/>
      <w:lang w:eastAsia="x-none"/>
    </w:rPr>
  </w:style>
  <w:style w:type="paragraph" w:customStyle="1" w:styleId="BodyTextfirst">
    <w:name w:val="Body Text first"/>
    <w:basedOn w:val="BodyText"/>
    <w:rsid w:val="000F6815"/>
    <w:pPr>
      <w:spacing w:before="240"/>
    </w:pPr>
  </w:style>
  <w:style w:type="paragraph" w:customStyle="1" w:styleId="BodyTextlast">
    <w:name w:val="Body Text last"/>
    <w:basedOn w:val="BodyText"/>
    <w:rsid w:val="000F6815"/>
    <w:pPr>
      <w:spacing w:after="240"/>
    </w:pPr>
  </w:style>
  <w:style w:type="paragraph" w:customStyle="1" w:styleId="Equation">
    <w:name w:val="Equation"/>
    <w:basedOn w:val="Normal"/>
    <w:rsid w:val="000F6815"/>
    <w:pPr>
      <w:widowControl w:val="0"/>
      <w:tabs>
        <w:tab w:val="center" w:pos="4680"/>
        <w:tab w:val="right" w:pos="9360"/>
      </w:tabs>
      <w:autoSpaceDE w:val="0"/>
      <w:autoSpaceDN w:val="0"/>
      <w:adjustRightInd w:val="0"/>
      <w:spacing w:after="240" w:line="240" w:lineRule="auto"/>
    </w:pPr>
    <w:rPr>
      <w:rFonts w:ascii="Times New Roman" w:eastAsia="Times New Roman" w:hAnsi="Times New Roman" w:cs="Times New Roman"/>
      <w:sz w:val="24"/>
      <w:szCs w:val="20"/>
    </w:rPr>
  </w:style>
  <w:style w:type="paragraph" w:customStyle="1" w:styleId="Equationtext">
    <w:name w:val="Equation text"/>
    <w:basedOn w:val="Normal"/>
    <w:uiPriority w:val="9"/>
    <w:rsid w:val="000F6815"/>
    <w:pPr>
      <w:numPr>
        <w:ilvl w:val="12"/>
      </w:numPr>
      <w:tabs>
        <w:tab w:val="right" w:pos="1800"/>
        <w:tab w:val="left" w:pos="1890"/>
        <w:tab w:val="left" w:pos="2160"/>
      </w:tabs>
      <w:autoSpaceDE w:val="0"/>
      <w:autoSpaceDN w:val="0"/>
      <w:adjustRightInd w:val="0"/>
      <w:spacing w:after="0" w:line="240" w:lineRule="auto"/>
      <w:ind w:left="2160" w:hanging="2160"/>
    </w:pPr>
    <w:rPr>
      <w:rFonts w:ascii="Times New Roman" w:eastAsia="Times New Roman" w:hAnsi="Times New Roman" w:cs="Times New Roman"/>
      <w:sz w:val="24"/>
      <w:szCs w:val="24"/>
    </w:rPr>
  </w:style>
  <w:style w:type="paragraph" w:customStyle="1" w:styleId="Equationtextlast">
    <w:name w:val="Equation text last"/>
    <w:basedOn w:val="Equationtext-greaterindent"/>
    <w:uiPriority w:val="9"/>
    <w:rsid w:val="000F6815"/>
    <w:pPr>
      <w:spacing w:after="240"/>
    </w:pPr>
  </w:style>
  <w:style w:type="paragraph" w:customStyle="1" w:styleId="Figurecaption">
    <w:name w:val="Figure caption"/>
    <w:basedOn w:val="Normal"/>
    <w:link w:val="FigurecaptionChar"/>
    <w:qFormat/>
    <w:rsid w:val="000F6815"/>
    <w:pPr>
      <w:widowControl w:val="0"/>
      <w:autoSpaceDE w:val="0"/>
      <w:autoSpaceDN w:val="0"/>
      <w:adjustRightInd w:val="0"/>
      <w:spacing w:before="120" w:after="240" w:line="240" w:lineRule="auto"/>
      <w:jc w:val="center"/>
    </w:pPr>
    <w:rPr>
      <w:rFonts w:ascii="Arial" w:eastAsia="Times New Roman" w:hAnsi="Arial" w:cs="Times New Roman"/>
      <w:b/>
      <w:bCs/>
      <w:sz w:val="18"/>
      <w:szCs w:val="20"/>
      <w:lang w:eastAsia="x-none"/>
    </w:rPr>
  </w:style>
  <w:style w:type="character" w:customStyle="1" w:styleId="FigurecaptionChar">
    <w:name w:val="Figure caption Char"/>
    <w:link w:val="Figurecaption"/>
    <w:rsid w:val="000F6815"/>
    <w:rPr>
      <w:rFonts w:ascii="Arial" w:eastAsia="Times New Roman" w:hAnsi="Arial" w:cs="Times New Roman"/>
      <w:b/>
      <w:bCs/>
      <w:sz w:val="18"/>
      <w:szCs w:val="20"/>
      <w:lang w:eastAsia="x-none"/>
    </w:rPr>
  </w:style>
  <w:style w:type="paragraph" w:styleId="Footer">
    <w:name w:val="footer"/>
    <w:basedOn w:val="Normal"/>
    <w:link w:val="FooterChar"/>
    <w:rsid w:val="000F6815"/>
    <w:pPr>
      <w:pBdr>
        <w:top w:val="single" w:sz="4" w:space="1" w:color="auto"/>
      </w:pBdr>
      <w:autoSpaceDE w:val="0"/>
      <w:autoSpaceDN w:val="0"/>
      <w:adjustRightInd w:val="0"/>
      <w:spacing w:after="0" w:line="240" w:lineRule="auto"/>
      <w:jc w:val="center"/>
    </w:pPr>
    <w:rPr>
      <w:rFonts w:ascii="Times New Roman" w:eastAsia="Times New Roman" w:hAnsi="Times New Roman" w:cs="Times New Roman"/>
      <w:sz w:val="24"/>
      <w:szCs w:val="24"/>
    </w:rPr>
  </w:style>
  <w:style w:type="character" w:customStyle="1" w:styleId="FooterChar">
    <w:name w:val="Footer Char"/>
    <w:basedOn w:val="DefaultParagraphFont"/>
    <w:link w:val="Footer"/>
    <w:rsid w:val="000F6815"/>
    <w:rPr>
      <w:rFonts w:ascii="Times New Roman" w:eastAsia="Times New Roman" w:hAnsi="Times New Roman" w:cs="Times New Roman"/>
      <w:sz w:val="24"/>
      <w:szCs w:val="24"/>
    </w:rPr>
  </w:style>
  <w:style w:type="character" w:styleId="FootnoteReference">
    <w:name w:val="footnote reference"/>
    <w:uiPriority w:val="9"/>
    <w:rsid w:val="000F6815"/>
    <w:rPr>
      <w:rFonts w:cs="Times New Roman"/>
      <w:vertAlign w:val="superscript"/>
    </w:rPr>
  </w:style>
  <w:style w:type="paragraph" w:styleId="FootnoteText">
    <w:name w:val="footnote text"/>
    <w:basedOn w:val="FootnoteText1"/>
    <w:link w:val="FootnoteTextChar"/>
    <w:rsid w:val="000F6815"/>
  </w:style>
  <w:style w:type="character" w:customStyle="1" w:styleId="FootnoteTextChar">
    <w:name w:val="Footnote Text Char"/>
    <w:basedOn w:val="DefaultParagraphFont"/>
    <w:link w:val="FootnoteText"/>
    <w:rsid w:val="000F6815"/>
    <w:rPr>
      <w:rFonts w:ascii="Times New Roman" w:eastAsia="Times New Roman" w:hAnsi="Times New Roman" w:cs="Times New Roman"/>
      <w:sz w:val="20"/>
      <w:szCs w:val="20"/>
    </w:rPr>
  </w:style>
  <w:style w:type="paragraph" w:styleId="Header">
    <w:name w:val="header"/>
    <w:basedOn w:val="Normal"/>
    <w:link w:val="HeaderChar"/>
    <w:rsid w:val="000F6815"/>
    <w:pPr>
      <w:widowControl w:val="0"/>
      <w:pBdr>
        <w:bottom w:val="single" w:sz="4" w:space="1" w:color="auto"/>
      </w:pBdr>
      <w:tabs>
        <w:tab w:val="right" w:pos="9360"/>
      </w:tabs>
      <w:autoSpaceDE w:val="0"/>
      <w:autoSpaceDN w:val="0"/>
      <w:adjustRightInd w:val="0"/>
      <w:spacing w:after="0" w:line="240" w:lineRule="auto"/>
    </w:pPr>
    <w:rPr>
      <w:rFonts w:ascii="Times New Roman" w:eastAsia="Times New Roman" w:hAnsi="Times New Roman" w:cs="Times New Roman"/>
      <w:i/>
      <w:iCs/>
      <w:sz w:val="24"/>
      <w:szCs w:val="24"/>
    </w:rPr>
  </w:style>
  <w:style w:type="character" w:customStyle="1" w:styleId="HeaderChar">
    <w:name w:val="Header Char"/>
    <w:basedOn w:val="DefaultParagraphFont"/>
    <w:link w:val="Header"/>
    <w:rsid w:val="000F6815"/>
    <w:rPr>
      <w:rFonts w:ascii="Times New Roman" w:eastAsia="Times New Roman" w:hAnsi="Times New Roman" w:cs="Times New Roman"/>
      <w:i/>
      <w:iCs/>
      <w:sz w:val="24"/>
      <w:szCs w:val="24"/>
    </w:rPr>
  </w:style>
  <w:style w:type="paragraph" w:styleId="ListBullet">
    <w:name w:val="List Bullet"/>
    <w:basedOn w:val="Normal"/>
    <w:qFormat/>
    <w:rsid w:val="00347221"/>
    <w:pPr>
      <w:numPr>
        <w:numId w:val="8"/>
      </w:numPr>
      <w:tabs>
        <w:tab w:val="clear" w:pos="1440"/>
        <w:tab w:val="num" w:pos="720"/>
      </w:tabs>
      <w:autoSpaceDE w:val="0"/>
      <w:autoSpaceDN w:val="0"/>
      <w:adjustRightInd w:val="0"/>
      <w:spacing w:after="40" w:line="240" w:lineRule="auto"/>
      <w:ind w:left="720"/>
    </w:pPr>
    <w:rPr>
      <w:rFonts w:ascii="Times New Roman" w:eastAsia="Times New Roman" w:hAnsi="Times New Roman" w:cs="Times New Roman"/>
      <w:sz w:val="24"/>
      <w:szCs w:val="24"/>
    </w:rPr>
  </w:style>
  <w:style w:type="paragraph" w:customStyle="1" w:styleId="ListBulletlast">
    <w:name w:val="List Bullet last"/>
    <w:basedOn w:val="ListBullet"/>
    <w:qFormat/>
    <w:rsid w:val="000F6815"/>
    <w:pPr>
      <w:spacing w:after="120"/>
    </w:pPr>
  </w:style>
  <w:style w:type="character" w:styleId="PageNumber">
    <w:name w:val="page number"/>
    <w:semiHidden/>
    <w:rsid w:val="000F6815"/>
    <w:rPr>
      <w:rFonts w:cs="Times New Roman"/>
    </w:rPr>
  </w:style>
  <w:style w:type="paragraph" w:customStyle="1" w:styleId="References">
    <w:name w:val="References"/>
    <w:basedOn w:val="Reference"/>
    <w:link w:val="ReferencesChar"/>
    <w:qFormat/>
    <w:rsid w:val="000F6815"/>
    <w:rPr>
      <w:lang w:val="en-CA"/>
    </w:rPr>
  </w:style>
  <w:style w:type="character" w:customStyle="1" w:styleId="ReferencesChar">
    <w:name w:val="References Char"/>
    <w:link w:val="References"/>
    <w:rsid w:val="000F6815"/>
    <w:rPr>
      <w:rFonts w:ascii="Times New Roman" w:eastAsia="Times New Roman" w:hAnsi="Times New Roman" w:cs="Times New Roman"/>
      <w:sz w:val="24"/>
      <w:szCs w:val="20"/>
      <w:lang w:val="en-CA" w:eastAsia="ar-SA"/>
    </w:rPr>
  </w:style>
  <w:style w:type="paragraph" w:customStyle="1" w:styleId="Tabletext">
    <w:name w:val="Table text"/>
    <w:basedOn w:val="Normal"/>
    <w:link w:val="TabletextChar"/>
    <w:qFormat/>
    <w:rsid w:val="000F6815"/>
    <w:pPr>
      <w:widowControl w:val="0"/>
      <w:autoSpaceDE w:val="0"/>
      <w:autoSpaceDN w:val="0"/>
      <w:adjustRightInd w:val="0"/>
      <w:spacing w:after="0" w:line="240" w:lineRule="auto"/>
    </w:pPr>
    <w:rPr>
      <w:rFonts w:ascii="Arial" w:eastAsia="Times New Roman" w:hAnsi="Arial" w:cs="Times New Roman"/>
      <w:sz w:val="18"/>
    </w:rPr>
  </w:style>
  <w:style w:type="paragraph" w:customStyle="1" w:styleId="TableHead">
    <w:name w:val="Table Head"/>
    <w:basedOn w:val="Tabletext"/>
    <w:uiPriority w:val="9"/>
    <w:rsid w:val="000F6815"/>
    <w:pPr>
      <w:spacing w:before="60" w:after="60"/>
      <w:jc w:val="center"/>
    </w:pPr>
    <w:rPr>
      <w:b/>
      <w:bCs/>
    </w:rPr>
  </w:style>
  <w:style w:type="paragraph" w:customStyle="1" w:styleId="TableTitle">
    <w:name w:val="Table Title"/>
    <w:basedOn w:val="Normal"/>
    <w:qFormat/>
    <w:rsid w:val="000F6815"/>
    <w:pPr>
      <w:keepNext/>
      <w:keepLines/>
      <w:widowControl w:val="0"/>
      <w:autoSpaceDE w:val="0"/>
      <w:autoSpaceDN w:val="0"/>
      <w:adjustRightInd w:val="0"/>
      <w:spacing w:before="240" w:after="120" w:line="240" w:lineRule="auto"/>
    </w:pPr>
    <w:rPr>
      <w:rFonts w:ascii="Arial" w:eastAsia="Times New Roman" w:hAnsi="Arial" w:cs="Times New Roman"/>
      <w:b/>
      <w:bCs/>
      <w:sz w:val="20"/>
      <w:szCs w:val="24"/>
    </w:rPr>
  </w:style>
  <w:style w:type="paragraph" w:styleId="Title">
    <w:name w:val="Title"/>
    <w:basedOn w:val="Normal"/>
    <w:link w:val="TitleChar"/>
    <w:uiPriority w:val="1"/>
    <w:rsid w:val="000F6815"/>
    <w:pPr>
      <w:autoSpaceDE w:val="0"/>
      <w:autoSpaceDN w:val="0"/>
      <w:adjustRightInd w:val="0"/>
      <w:spacing w:before="240" w:after="360" w:line="240" w:lineRule="auto"/>
      <w:jc w:val="center"/>
    </w:pPr>
    <w:rPr>
      <w:rFonts w:ascii="Arial" w:eastAsia="Times New Roman" w:hAnsi="Arial" w:cs="Times New Roman"/>
      <w:b/>
      <w:bCs/>
      <w:sz w:val="36"/>
      <w:szCs w:val="44"/>
    </w:rPr>
  </w:style>
  <w:style w:type="character" w:customStyle="1" w:styleId="TitleChar">
    <w:name w:val="Title Char"/>
    <w:basedOn w:val="DefaultParagraphFont"/>
    <w:link w:val="Title"/>
    <w:uiPriority w:val="1"/>
    <w:rsid w:val="000F6815"/>
    <w:rPr>
      <w:rFonts w:ascii="Arial" w:eastAsia="Times New Roman" w:hAnsi="Arial" w:cs="Times New Roman"/>
      <w:b/>
      <w:bCs/>
      <w:sz w:val="36"/>
      <w:szCs w:val="44"/>
    </w:rPr>
  </w:style>
  <w:style w:type="paragraph" w:styleId="ListNumber">
    <w:name w:val="List Number"/>
    <w:basedOn w:val="Normal"/>
    <w:link w:val="ListNumberChar"/>
    <w:uiPriority w:val="9"/>
    <w:rsid w:val="000F6815"/>
    <w:pPr>
      <w:widowControl w:val="0"/>
      <w:numPr>
        <w:numId w:val="5"/>
      </w:numPr>
      <w:tabs>
        <w:tab w:val="clear" w:pos="360"/>
        <w:tab w:val="left" w:pos="720"/>
      </w:tabs>
      <w:autoSpaceDE w:val="0"/>
      <w:autoSpaceDN w:val="0"/>
      <w:adjustRightInd w:val="0"/>
      <w:spacing w:after="120" w:line="240" w:lineRule="auto"/>
    </w:pPr>
    <w:rPr>
      <w:rFonts w:ascii="Times New Roman" w:eastAsia="Times New Roman" w:hAnsi="Times New Roman" w:cs="Times New Roman"/>
      <w:sz w:val="24"/>
      <w:szCs w:val="20"/>
    </w:rPr>
  </w:style>
  <w:style w:type="character" w:customStyle="1" w:styleId="ListNumberChar">
    <w:name w:val="List Number Char"/>
    <w:link w:val="ListNumber"/>
    <w:uiPriority w:val="9"/>
    <w:rsid w:val="000F6815"/>
    <w:rPr>
      <w:rFonts w:ascii="Times New Roman" w:eastAsia="Times New Roman" w:hAnsi="Times New Roman" w:cs="Times New Roman"/>
      <w:sz w:val="24"/>
      <w:szCs w:val="20"/>
    </w:rPr>
  </w:style>
  <w:style w:type="paragraph" w:customStyle="1" w:styleId="numlist">
    <w:name w:val="num list"/>
    <w:basedOn w:val="ListNumber"/>
    <w:link w:val="numlistChar"/>
    <w:qFormat/>
    <w:rsid w:val="00911CBD"/>
    <w:pPr>
      <w:widowControl/>
      <w:numPr>
        <w:numId w:val="24"/>
      </w:numPr>
      <w:spacing w:after="40"/>
    </w:pPr>
  </w:style>
  <w:style w:type="character" w:customStyle="1" w:styleId="numlistChar">
    <w:name w:val="num list Char"/>
    <w:basedOn w:val="ListNumberChar"/>
    <w:link w:val="numlist"/>
    <w:rsid w:val="00911CBD"/>
    <w:rPr>
      <w:rFonts w:ascii="Times New Roman" w:eastAsia="Times New Roman" w:hAnsi="Times New Roman" w:cs="Times New Roman"/>
      <w:sz w:val="24"/>
      <w:szCs w:val="20"/>
    </w:rPr>
  </w:style>
  <w:style w:type="paragraph" w:customStyle="1" w:styleId="Tablebullet">
    <w:name w:val="Table bullet"/>
    <w:basedOn w:val="Tabletext"/>
    <w:rsid w:val="000F6815"/>
    <w:pPr>
      <w:numPr>
        <w:numId w:val="12"/>
      </w:numPr>
      <w:tabs>
        <w:tab w:val="clear" w:pos="2160"/>
        <w:tab w:val="left" w:pos="360"/>
      </w:tabs>
    </w:pPr>
    <w:rPr>
      <w:szCs w:val="18"/>
    </w:rPr>
  </w:style>
  <w:style w:type="table" w:styleId="TableGrid">
    <w:name w:val="Table Grid"/>
    <w:basedOn w:val="TableNormal"/>
    <w:uiPriority w:val="39"/>
    <w:rsid w:val="000F6815"/>
    <w:pPr>
      <w:widowControl w:val="0"/>
      <w:autoSpaceDE w:val="0"/>
      <w:autoSpaceDN w:val="0"/>
      <w:adjustRightInd w:val="0"/>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uiPriority w:val="99"/>
    <w:rsid w:val="000F6815"/>
    <w:pPr>
      <w:widowControl w:val="0"/>
      <w:tabs>
        <w:tab w:val="left" w:pos="1080"/>
        <w:tab w:val="right" w:leader="dot" w:pos="9350"/>
      </w:tabs>
      <w:autoSpaceDE w:val="0"/>
      <w:autoSpaceDN w:val="0"/>
      <w:adjustRightInd w:val="0"/>
      <w:spacing w:after="0" w:line="240" w:lineRule="auto"/>
      <w:ind w:left="1080" w:right="720" w:hanging="1080"/>
    </w:pPr>
    <w:rPr>
      <w:rFonts w:ascii="Times New Roman" w:eastAsia="Times New Roman" w:hAnsi="Times New Roman" w:cs="Times New Roman"/>
      <w:noProof/>
    </w:rPr>
  </w:style>
  <w:style w:type="paragraph" w:styleId="TOC1">
    <w:name w:val="toc 1"/>
    <w:basedOn w:val="Normal"/>
    <w:next w:val="Normal"/>
    <w:autoRedefine/>
    <w:uiPriority w:val="39"/>
    <w:rsid w:val="000F6815"/>
    <w:pPr>
      <w:widowControl w:val="0"/>
      <w:tabs>
        <w:tab w:val="left" w:pos="360"/>
        <w:tab w:val="right" w:leader="dot" w:pos="9350"/>
      </w:tabs>
      <w:autoSpaceDE w:val="0"/>
      <w:autoSpaceDN w:val="0"/>
      <w:adjustRightInd w:val="0"/>
      <w:spacing w:before="120" w:after="0" w:line="240" w:lineRule="auto"/>
      <w:ind w:left="360" w:right="720" w:hanging="360"/>
    </w:pPr>
    <w:rPr>
      <w:rFonts w:ascii="Times New Roman" w:eastAsia="Times New Roman" w:hAnsi="Times New Roman" w:cs="Times New Roman"/>
      <w:b/>
      <w:bCs/>
      <w:szCs w:val="20"/>
    </w:rPr>
  </w:style>
  <w:style w:type="paragraph" w:styleId="TOC2">
    <w:name w:val="toc 2"/>
    <w:basedOn w:val="Normal"/>
    <w:next w:val="Normal"/>
    <w:autoRedefine/>
    <w:uiPriority w:val="39"/>
    <w:rsid w:val="000F6815"/>
    <w:pPr>
      <w:widowControl w:val="0"/>
      <w:tabs>
        <w:tab w:val="left" w:pos="900"/>
        <w:tab w:val="right" w:leader="dot" w:pos="9350"/>
      </w:tabs>
      <w:autoSpaceDE w:val="0"/>
      <w:autoSpaceDN w:val="0"/>
      <w:adjustRightInd w:val="0"/>
      <w:spacing w:after="0" w:line="240" w:lineRule="auto"/>
      <w:ind w:left="907" w:right="720" w:hanging="547"/>
    </w:pPr>
    <w:rPr>
      <w:rFonts w:ascii="Times New Roman" w:eastAsia="Times New Roman" w:hAnsi="Times New Roman" w:cs="Times New Roman"/>
      <w:szCs w:val="20"/>
    </w:rPr>
  </w:style>
  <w:style w:type="paragraph" w:styleId="TOC3">
    <w:name w:val="toc 3"/>
    <w:basedOn w:val="Normal"/>
    <w:next w:val="Normal"/>
    <w:autoRedefine/>
    <w:uiPriority w:val="39"/>
    <w:rsid w:val="000F6815"/>
    <w:pPr>
      <w:widowControl w:val="0"/>
      <w:tabs>
        <w:tab w:val="left" w:pos="1620"/>
        <w:tab w:val="right" w:leader="dot" w:pos="9350"/>
      </w:tabs>
      <w:autoSpaceDE w:val="0"/>
      <w:autoSpaceDN w:val="0"/>
      <w:adjustRightInd w:val="0"/>
      <w:spacing w:after="0" w:line="240" w:lineRule="auto"/>
      <w:ind w:left="1627" w:right="720" w:hanging="720"/>
    </w:pPr>
    <w:rPr>
      <w:rFonts w:ascii="Times New Roman" w:eastAsia="Times New Roman" w:hAnsi="Times New Roman" w:cs="Times New Roman"/>
      <w:noProof/>
      <w:szCs w:val="20"/>
    </w:rPr>
  </w:style>
  <w:style w:type="paragraph" w:styleId="TOC4">
    <w:name w:val="toc 4"/>
    <w:basedOn w:val="Normal"/>
    <w:next w:val="Normal"/>
    <w:autoRedefine/>
    <w:uiPriority w:val="1"/>
    <w:rsid w:val="000F6815"/>
    <w:pPr>
      <w:widowControl w:val="0"/>
      <w:tabs>
        <w:tab w:val="left" w:pos="2430"/>
        <w:tab w:val="right" w:leader="dot" w:pos="9350"/>
      </w:tabs>
      <w:autoSpaceDE w:val="0"/>
      <w:autoSpaceDN w:val="0"/>
      <w:adjustRightInd w:val="0"/>
      <w:spacing w:after="0" w:line="240" w:lineRule="auto"/>
      <w:ind w:left="2433" w:right="720" w:hanging="806"/>
    </w:pPr>
    <w:rPr>
      <w:rFonts w:ascii="Times New Roman" w:eastAsia="Times New Roman" w:hAnsi="Times New Roman" w:cs="Times New Roman"/>
      <w:noProof/>
      <w:sz w:val="24"/>
      <w:szCs w:val="20"/>
    </w:rPr>
  </w:style>
  <w:style w:type="paragraph" w:customStyle="1" w:styleId="where">
    <w:name w:val="where"/>
    <w:basedOn w:val="Equationtextlast"/>
    <w:next w:val="equationtext0"/>
    <w:uiPriority w:val="9"/>
    <w:rsid w:val="000F6815"/>
    <w:pPr>
      <w:keepNext/>
      <w:ind w:hanging="1440"/>
    </w:pPr>
  </w:style>
  <w:style w:type="paragraph" w:customStyle="1" w:styleId="Tablehead0">
    <w:name w:val="Table head"/>
    <w:basedOn w:val="Tabletext"/>
    <w:qFormat/>
    <w:rsid w:val="000F6815"/>
    <w:pPr>
      <w:suppressAutoHyphens/>
      <w:autoSpaceDN/>
      <w:adjustRightInd/>
      <w:spacing w:before="60" w:after="60"/>
      <w:jc w:val="center"/>
    </w:pPr>
    <w:rPr>
      <w:rFonts w:cs="Arial"/>
      <w:b/>
      <w:bCs/>
      <w:lang w:eastAsia="ar-SA"/>
    </w:rPr>
  </w:style>
  <w:style w:type="character" w:styleId="CommentReference">
    <w:name w:val="annotation reference"/>
    <w:uiPriority w:val="99"/>
    <w:rsid w:val="000F6815"/>
    <w:rPr>
      <w:sz w:val="16"/>
      <w:szCs w:val="16"/>
    </w:rPr>
  </w:style>
  <w:style w:type="paragraph" w:styleId="CommentText">
    <w:name w:val="annotation text"/>
    <w:basedOn w:val="Normal"/>
    <w:link w:val="CommentTextChar"/>
    <w:uiPriority w:val="99"/>
    <w:rsid w:val="000F6815"/>
    <w:pPr>
      <w:widowControl w:val="0"/>
      <w:autoSpaceDE w:val="0"/>
      <w:autoSpaceDN w:val="0"/>
      <w:adjustRightInd w:val="0"/>
      <w:spacing w:after="0" w:line="240" w:lineRule="auto"/>
    </w:pPr>
    <w:rPr>
      <w:rFonts w:eastAsia="Times New Roman" w:cs="Times New Roman"/>
      <w:sz w:val="24"/>
      <w:szCs w:val="20"/>
    </w:rPr>
  </w:style>
  <w:style w:type="character" w:customStyle="1" w:styleId="CommentTextChar">
    <w:name w:val="Comment Text Char"/>
    <w:basedOn w:val="DefaultParagraphFont"/>
    <w:link w:val="CommentText"/>
    <w:uiPriority w:val="99"/>
    <w:rsid w:val="000F6815"/>
    <w:rPr>
      <w:rFonts w:eastAsia="Times New Roman" w:cs="Times New Roman"/>
      <w:sz w:val="24"/>
      <w:szCs w:val="20"/>
    </w:rPr>
  </w:style>
  <w:style w:type="paragraph" w:styleId="BalloonText">
    <w:name w:val="Balloon Text"/>
    <w:basedOn w:val="Normal"/>
    <w:link w:val="BalloonTextChar"/>
    <w:semiHidden/>
    <w:rsid w:val="000F6815"/>
    <w:pPr>
      <w:widowControl w:val="0"/>
      <w:autoSpaceDE w:val="0"/>
      <w:autoSpaceDN w:val="0"/>
      <w:adjustRightInd w:val="0"/>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semiHidden/>
    <w:rsid w:val="000F6815"/>
    <w:rPr>
      <w:rFonts w:ascii="Tahoma" w:eastAsia="Times New Roman" w:hAnsi="Tahoma" w:cs="Tahoma"/>
      <w:sz w:val="16"/>
      <w:szCs w:val="16"/>
    </w:rPr>
  </w:style>
  <w:style w:type="paragraph" w:styleId="CommentSubject">
    <w:name w:val="annotation subject"/>
    <w:basedOn w:val="CommentText"/>
    <w:next w:val="CommentText"/>
    <w:link w:val="CommentSubjectChar"/>
    <w:semiHidden/>
    <w:rsid w:val="000F6815"/>
    <w:rPr>
      <w:b/>
      <w:bCs/>
    </w:rPr>
  </w:style>
  <w:style w:type="character" w:customStyle="1" w:styleId="CommentSubjectChar">
    <w:name w:val="Comment Subject Char"/>
    <w:basedOn w:val="CommentTextChar"/>
    <w:link w:val="CommentSubject"/>
    <w:semiHidden/>
    <w:rsid w:val="000F6815"/>
    <w:rPr>
      <w:rFonts w:eastAsia="Times New Roman" w:cs="Times New Roman"/>
      <w:b/>
      <w:bCs/>
      <w:sz w:val="24"/>
      <w:szCs w:val="20"/>
    </w:rPr>
  </w:style>
  <w:style w:type="paragraph" w:customStyle="1" w:styleId="Tablenote">
    <w:name w:val="Table note"/>
    <w:basedOn w:val="Tabletext"/>
    <w:rsid w:val="000F6815"/>
    <w:pPr>
      <w:tabs>
        <w:tab w:val="left" w:pos="90"/>
      </w:tabs>
      <w:spacing w:after="60"/>
      <w:ind w:left="90" w:hanging="90"/>
    </w:pPr>
    <w:rPr>
      <w:sz w:val="16"/>
      <w:szCs w:val="16"/>
    </w:rPr>
  </w:style>
  <w:style w:type="character" w:styleId="Hyperlink">
    <w:name w:val="Hyperlink"/>
    <w:uiPriority w:val="99"/>
    <w:rsid w:val="000F6815"/>
    <w:rPr>
      <w:color w:val="0000FF"/>
      <w:u w:val="single"/>
    </w:rPr>
  </w:style>
  <w:style w:type="paragraph" w:customStyle="1" w:styleId="Covertext">
    <w:name w:val="Cover text"/>
    <w:basedOn w:val="Normal"/>
    <w:uiPriority w:val="1"/>
    <w:rsid w:val="000F6815"/>
    <w:pPr>
      <w:widowControl w:val="0"/>
      <w:autoSpaceDE w:val="0"/>
      <w:autoSpaceDN w:val="0"/>
      <w:adjustRightInd w:val="0"/>
      <w:spacing w:after="0" w:line="240" w:lineRule="auto"/>
      <w:jc w:val="right"/>
    </w:pPr>
    <w:rPr>
      <w:rFonts w:asciiTheme="minorBidi" w:eastAsia="Times New Roman" w:hAnsiTheme="minorBidi"/>
    </w:rPr>
  </w:style>
  <w:style w:type="paragraph" w:customStyle="1" w:styleId="Covertitle">
    <w:name w:val="Cover title"/>
    <w:basedOn w:val="Normal"/>
    <w:link w:val="CovertitleChar"/>
    <w:uiPriority w:val="1"/>
    <w:rsid w:val="000F6815"/>
    <w:pPr>
      <w:widowControl w:val="0"/>
      <w:autoSpaceDE w:val="0"/>
      <w:autoSpaceDN w:val="0"/>
      <w:adjustRightInd w:val="0"/>
      <w:spacing w:after="0" w:line="240" w:lineRule="auto"/>
      <w:jc w:val="right"/>
    </w:pPr>
    <w:rPr>
      <w:rFonts w:ascii="Arial" w:eastAsia="Times New Roman" w:hAnsi="Arial" w:cs="Arial"/>
      <w:b/>
      <w:color w:val="000000"/>
      <w:sz w:val="56"/>
      <w:szCs w:val="56"/>
    </w:rPr>
  </w:style>
  <w:style w:type="character" w:customStyle="1" w:styleId="CovertitleChar">
    <w:name w:val="Cover title Char"/>
    <w:link w:val="Covertitle"/>
    <w:uiPriority w:val="1"/>
    <w:rsid w:val="000F6815"/>
    <w:rPr>
      <w:rFonts w:ascii="Arial" w:eastAsia="Times New Roman" w:hAnsi="Arial" w:cs="Arial"/>
      <w:b/>
      <w:color w:val="000000"/>
      <w:sz w:val="56"/>
      <w:szCs w:val="56"/>
    </w:rPr>
  </w:style>
  <w:style w:type="paragraph" w:styleId="DocumentMap">
    <w:name w:val="Document Map"/>
    <w:basedOn w:val="Normal"/>
    <w:link w:val="DocumentMapChar"/>
    <w:uiPriority w:val="9"/>
    <w:rsid w:val="000F6815"/>
    <w:pPr>
      <w:widowControl w:val="0"/>
      <w:autoSpaceDE w:val="0"/>
      <w:autoSpaceDN w:val="0"/>
      <w:adjustRightInd w:val="0"/>
      <w:spacing w:after="0" w:line="240" w:lineRule="auto"/>
    </w:pPr>
    <w:rPr>
      <w:rFonts w:ascii="Tahoma" w:eastAsia="Times New Roman" w:hAnsi="Tahoma" w:cs="Times New Roman"/>
      <w:sz w:val="16"/>
      <w:szCs w:val="16"/>
      <w:lang w:val="x-none" w:eastAsia="x-none"/>
    </w:rPr>
  </w:style>
  <w:style w:type="character" w:customStyle="1" w:styleId="DocumentMapChar">
    <w:name w:val="Document Map Char"/>
    <w:basedOn w:val="DefaultParagraphFont"/>
    <w:link w:val="DocumentMap"/>
    <w:uiPriority w:val="9"/>
    <w:rsid w:val="000F6815"/>
    <w:rPr>
      <w:rFonts w:ascii="Tahoma" w:eastAsia="Times New Roman" w:hAnsi="Tahoma" w:cs="Times New Roman"/>
      <w:sz w:val="16"/>
      <w:szCs w:val="16"/>
      <w:lang w:val="x-none" w:eastAsia="x-none"/>
    </w:rPr>
  </w:style>
  <w:style w:type="paragraph" w:customStyle="1" w:styleId="ESbody">
    <w:name w:val="ES body"/>
    <w:basedOn w:val="BodyText"/>
    <w:uiPriority w:val="1"/>
    <w:qFormat/>
    <w:rsid w:val="000F6815"/>
  </w:style>
  <w:style w:type="paragraph" w:customStyle="1" w:styleId="Insertfigure">
    <w:name w:val="Insert figure"/>
    <w:basedOn w:val="Normal"/>
    <w:qFormat/>
    <w:rsid w:val="000F6815"/>
    <w:pPr>
      <w:numPr>
        <w:ilvl w:val="12"/>
      </w:numPr>
      <w:autoSpaceDE w:val="0"/>
      <w:autoSpaceDN w:val="0"/>
      <w:adjustRightInd w:val="0"/>
      <w:spacing w:after="120" w:line="240" w:lineRule="auto"/>
      <w:jc w:val="center"/>
    </w:pPr>
    <w:rPr>
      <w:rFonts w:ascii="Times New Roman" w:eastAsia="Times New Roman" w:hAnsi="Times New Roman" w:cs="Times New Roman"/>
      <w:sz w:val="24"/>
      <w:szCs w:val="20"/>
    </w:rPr>
  </w:style>
  <w:style w:type="paragraph" w:customStyle="1" w:styleId="ListBulletcontinuation">
    <w:name w:val="List Bullet continuation"/>
    <w:basedOn w:val="ListBulletlast"/>
    <w:rsid w:val="000F6815"/>
    <w:pPr>
      <w:numPr>
        <w:numId w:val="0"/>
      </w:numPr>
      <w:ind w:left="720"/>
    </w:pPr>
  </w:style>
  <w:style w:type="character" w:styleId="Emphasis">
    <w:name w:val="Emphasis"/>
    <w:uiPriority w:val="9"/>
    <w:rsid w:val="000F6815"/>
    <w:rPr>
      <w:i/>
      <w:iCs/>
    </w:rPr>
  </w:style>
  <w:style w:type="character" w:styleId="Strong">
    <w:name w:val="Strong"/>
    <w:uiPriority w:val="9"/>
    <w:rsid w:val="000F6815"/>
    <w:rPr>
      <w:b/>
      <w:bCs/>
    </w:rPr>
  </w:style>
  <w:style w:type="paragraph" w:customStyle="1" w:styleId="equationtext0">
    <w:name w:val="equation text"/>
    <w:basedOn w:val="Normal"/>
    <w:rsid w:val="000F6815"/>
    <w:pPr>
      <w:tabs>
        <w:tab w:val="right" w:pos="900"/>
        <w:tab w:val="left" w:pos="1080"/>
        <w:tab w:val="left" w:pos="1440"/>
      </w:tabs>
      <w:suppressAutoHyphens/>
      <w:autoSpaceDE w:val="0"/>
      <w:spacing w:after="40" w:line="240" w:lineRule="auto"/>
      <w:ind w:left="1440" w:hanging="1440"/>
      <w:jc w:val="both"/>
    </w:pPr>
    <w:rPr>
      <w:rFonts w:ascii="Times New Roman" w:eastAsia="Times New Roman" w:hAnsi="Times New Roman" w:cs="Times New Roman"/>
      <w:sz w:val="24"/>
      <w:szCs w:val="20"/>
      <w:lang w:eastAsia="ar-SA"/>
    </w:rPr>
  </w:style>
  <w:style w:type="paragraph" w:customStyle="1" w:styleId="equationtextlast0">
    <w:name w:val="equation text last"/>
    <w:basedOn w:val="equationtext0"/>
    <w:rsid w:val="000F6815"/>
    <w:pPr>
      <w:spacing w:after="120"/>
      <w:jc w:val="left"/>
    </w:pPr>
  </w:style>
  <w:style w:type="character" w:customStyle="1" w:styleId="MemoBody">
    <w:name w:val="Memo Body"/>
    <w:uiPriority w:val="9"/>
    <w:rsid w:val="000F6815"/>
    <w:rPr>
      <w:rFonts w:ascii="Times New Roman" w:hAnsi="Times New Roman"/>
      <w:sz w:val="24"/>
    </w:rPr>
  </w:style>
  <w:style w:type="paragraph" w:styleId="PlainText">
    <w:name w:val="Plain Text"/>
    <w:basedOn w:val="Normal"/>
    <w:link w:val="PlainTextChar"/>
    <w:uiPriority w:val="9"/>
    <w:rsid w:val="000F6815"/>
    <w:pPr>
      <w:spacing w:after="0" w:line="240" w:lineRule="auto"/>
    </w:pPr>
    <w:rPr>
      <w:rFonts w:ascii="Courier New" w:eastAsia="Times New Roman" w:hAnsi="Courier New" w:cs="Times New Roman"/>
      <w:sz w:val="20"/>
      <w:szCs w:val="20"/>
      <w:lang w:val="x-none" w:eastAsia="x-none"/>
    </w:rPr>
  </w:style>
  <w:style w:type="character" w:customStyle="1" w:styleId="PlainTextChar">
    <w:name w:val="Plain Text Char"/>
    <w:basedOn w:val="DefaultParagraphFont"/>
    <w:link w:val="PlainText"/>
    <w:uiPriority w:val="9"/>
    <w:rsid w:val="000F6815"/>
    <w:rPr>
      <w:rFonts w:ascii="Courier New" w:eastAsia="Times New Roman" w:hAnsi="Courier New" w:cs="Times New Roman"/>
      <w:sz w:val="20"/>
      <w:szCs w:val="20"/>
      <w:lang w:val="x-none" w:eastAsia="x-none"/>
    </w:rPr>
  </w:style>
  <w:style w:type="paragraph" w:customStyle="1" w:styleId="Reference">
    <w:name w:val="Reference"/>
    <w:basedOn w:val="BodyText"/>
    <w:rsid w:val="000F6815"/>
    <w:pPr>
      <w:suppressAutoHyphens/>
      <w:autoSpaceDN/>
      <w:adjustRightInd/>
      <w:ind w:left="345" w:hanging="345"/>
    </w:pPr>
    <w:rPr>
      <w:szCs w:val="20"/>
      <w:lang w:eastAsia="ar-SA"/>
    </w:rPr>
  </w:style>
  <w:style w:type="paragraph" w:styleId="TOCHeading">
    <w:name w:val="TOC Heading"/>
    <w:basedOn w:val="Heading1"/>
    <w:next w:val="Normal"/>
    <w:uiPriority w:val="1"/>
    <w:rsid w:val="000F6815"/>
    <w:pPr>
      <w:keepNext w:val="0"/>
      <w:tabs>
        <w:tab w:val="clear" w:pos="360"/>
        <w:tab w:val="left" w:pos="1440"/>
      </w:tabs>
      <w:autoSpaceDE/>
      <w:autoSpaceDN/>
      <w:adjustRightInd/>
      <w:spacing w:before="0" w:line="276" w:lineRule="auto"/>
      <w:outlineLvl w:val="9"/>
    </w:pPr>
    <w:rPr>
      <w:sz w:val="24"/>
      <w:szCs w:val="24"/>
      <w:lang w:val="en-US"/>
    </w:rPr>
  </w:style>
  <w:style w:type="paragraph" w:customStyle="1" w:styleId="TableHeader">
    <w:name w:val="Table Header"/>
    <w:basedOn w:val="Normal"/>
    <w:uiPriority w:val="9"/>
    <w:rsid w:val="000F6815"/>
    <w:pPr>
      <w:keepNext/>
      <w:spacing w:before="80" w:after="80" w:line="240" w:lineRule="auto"/>
      <w:jc w:val="center"/>
    </w:pPr>
    <w:rPr>
      <w:rFonts w:ascii="Verdana" w:eastAsia="Calibri" w:hAnsi="Verdana" w:cs="Times New Roman"/>
      <w:b/>
      <w:snapToGrid w:val="0"/>
      <w:sz w:val="20"/>
    </w:rPr>
  </w:style>
  <w:style w:type="paragraph" w:customStyle="1" w:styleId="TableText0">
    <w:name w:val="Table Text"/>
    <w:uiPriority w:val="9"/>
    <w:rsid w:val="000F6815"/>
    <w:pPr>
      <w:spacing w:before="60" w:after="60" w:line="240" w:lineRule="auto"/>
    </w:pPr>
    <w:rPr>
      <w:rFonts w:ascii="Verdana" w:eastAsia="Times New Roman" w:hAnsi="Verdana" w:cs="Times New Roman"/>
      <w:sz w:val="18"/>
      <w:szCs w:val="20"/>
    </w:rPr>
  </w:style>
  <w:style w:type="paragraph" w:customStyle="1" w:styleId="TableHeaders">
    <w:name w:val="Table Headers"/>
    <w:uiPriority w:val="9"/>
    <w:rsid w:val="000F6815"/>
    <w:pPr>
      <w:spacing w:before="80" w:after="80" w:line="240" w:lineRule="auto"/>
      <w:jc w:val="center"/>
    </w:pPr>
    <w:rPr>
      <w:rFonts w:ascii="Verdana" w:eastAsia="Times New Roman" w:hAnsi="Verdana" w:cs="Times New Roman"/>
      <w:b/>
      <w:sz w:val="18"/>
      <w:szCs w:val="20"/>
    </w:rPr>
  </w:style>
  <w:style w:type="paragraph" w:styleId="ListParagraph">
    <w:name w:val="List Paragraph"/>
    <w:basedOn w:val="Normal"/>
    <w:uiPriority w:val="1"/>
    <w:qFormat/>
    <w:rsid w:val="000F6815"/>
    <w:pPr>
      <w:widowControl w:val="0"/>
      <w:autoSpaceDE w:val="0"/>
      <w:autoSpaceDN w:val="0"/>
      <w:adjustRightInd w:val="0"/>
      <w:spacing w:after="0" w:line="240" w:lineRule="auto"/>
      <w:ind w:left="720"/>
    </w:pPr>
    <w:rPr>
      <w:rFonts w:ascii="Times New Roman" w:eastAsia="Times New Roman" w:hAnsi="Times New Roman" w:cs="Times New Roman"/>
      <w:sz w:val="24"/>
      <w:szCs w:val="20"/>
    </w:rPr>
  </w:style>
  <w:style w:type="paragraph" w:customStyle="1" w:styleId="Textbox">
    <w:name w:val="Text box"/>
    <w:basedOn w:val="Normal"/>
    <w:uiPriority w:val="9"/>
    <w:rsid w:val="000F6815"/>
    <w:pPr>
      <w:widowControl w:val="0"/>
      <w:autoSpaceDE w:val="0"/>
      <w:autoSpaceDN w:val="0"/>
      <w:adjustRightInd w:val="0"/>
      <w:spacing w:after="60" w:line="240" w:lineRule="auto"/>
    </w:pPr>
    <w:rPr>
      <w:rFonts w:ascii="Arial" w:eastAsia="Times New Roman" w:hAnsi="Arial" w:cs="Arial"/>
      <w:sz w:val="18"/>
      <w:szCs w:val="20"/>
    </w:rPr>
  </w:style>
  <w:style w:type="paragraph" w:customStyle="1" w:styleId="ESHeading1">
    <w:name w:val="ES Heading 1"/>
    <w:basedOn w:val="Heading1"/>
    <w:uiPriority w:val="1"/>
    <w:qFormat/>
    <w:rsid w:val="000F6815"/>
    <w:rPr>
      <w:sz w:val="28"/>
      <w:szCs w:val="28"/>
    </w:rPr>
  </w:style>
  <w:style w:type="paragraph" w:customStyle="1" w:styleId="ESTableTitle">
    <w:name w:val="ES Table Title"/>
    <w:basedOn w:val="TableTitle"/>
    <w:uiPriority w:val="1"/>
    <w:qFormat/>
    <w:rsid w:val="000F6815"/>
  </w:style>
  <w:style w:type="paragraph" w:customStyle="1" w:styleId="Default">
    <w:name w:val="Default"/>
    <w:rsid w:val="000F6815"/>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TOC0">
    <w:name w:val="TOC 0"/>
    <w:basedOn w:val="Title"/>
    <w:uiPriority w:val="1"/>
    <w:rsid w:val="005D1672"/>
    <w:pPr>
      <w:spacing w:after="120"/>
      <w:outlineLvl w:val="0"/>
    </w:pPr>
    <w:rPr>
      <w:color w:val="1F3864" w:themeColor="accent1" w:themeShade="80"/>
      <w:sz w:val="28"/>
      <w:szCs w:val="28"/>
    </w:rPr>
  </w:style>
  <w:style w:type="paragraph" w:customStyle="1" w:styleId="TableTitlecontinued">
    <w:name w:val="Table Title continued"/>
    <w:basedOn w:val="TableTitle"/>
    <w:qFormat/>
    <w:rsid w:val="000F6815"/>
  </w:style>
  <w:style w:type="paragraph" w:styleId="ListBullet2">
    <w:name w:val="List Bullet 2"/>
    <w:basedOn w:val="ListNumber"/>
    <w:rsid w:val="00347221"/>
    <w:pPr>
      <w:numPr>
        <w:numId w:val="14"/>
      </w:numPr>
      <w:tabs>
        <w:tab w:val="clear" w:pos="720"/>
        <w:tab w:val="left" w:pos="1080"/>
      </w:tabs>
      <w:spacing w:after="40"/>
      <w:ind w:left="1080"/>
    </w:pPr>
    <w:rPr>
      <w:szCs w:val="24"/>
    </w:rPr>
  </w:style>
  <w:style w:type="paragraph" w:customStyle="1" w:styleId="ListBullet2last">
    <w:name w:val="List Bullet 2 last"/>
    <w:basedOn w:val="ListBullet2"/>
    <w:rsid w:val="000F6815"/>
    <w:pPr>
      <w:spacing w:after="120"/>
    </w:pPr>
  </w:style>
  <w:style w:type="paragraph" w:customStyle="1" w:styleId="Tablesubheadcenter">
    <w:name w:val="Table subhead center"/>
    <w:basedOn w:val="Tablehead0"/>
    <w:qFormat/>
    <w:rsid w:val="000F6815"/>
    <w:rPr>
      <w:i/>
      <w:iCs/>
    </w:rPr>
  </w:style>
  <w:style w:type="paragraph" w:customStyle="1" w:styleId="Tablesubheadleft">
    <w:name w:val="Table subhead left"/>
    <w:basedOn w:val="Tablesubheadcenter"/>
    <w:qFormat/>
    <w:rsid w:val="000F6815"/>
    <w:pPr>
      <w:jc w:val="left"/>
    </w:pPr>
  </w:style>
  <w:style w:type="paragraph" w:styleId="NormalWeb">
    <w:name w:val="Normal (Web)"/>
    <w:basedOn w:val="Normal"/>
    <w:uiPriority w:val="99"/>
    <w:unhideWhenUsed/>
    <w:rsid w:val="000F6815"/>
    <w:pPr>
      <w:spacing w:before="100" w:beforeAutospacing="1" w:after="100" w:afterAutospacing="1" w:line="240" w:lineRule="auto"/>
    </w:pPr>
    <w:rPr>
      <w:rFonts w:ascii="Times New Roman" w:eastAsia="Calibri" w:hAnsi="Times New Roman" w:cs="Times New Roman"/>
      <w:sz w:val="24"/>
      <w:szCs w:val="24"/>
    </w:rPr>
  </w:style>
  <w:style w:type="paragraph" w:customStyle="1" w:styleId="s-bodytext">
    <w:name w:val="s-body text"/>
    <w:basedOn w:val="Normal"/>
    <w:uiPriority w:val="9"/>
    <w:rsid w:val="000F6815"/>
    <w:pPr>
      <w:tabs>
        <w:tab w:val="left" w:pos="720"/>
      </w:tabs>
      <w:autoSpaceDE w:val="0"/>
      <w:autoSpaceDN w:val="0"/>
      <w:adjustRightInd w:val="0"/>
      <w:spacing w:after="240" w:line="240" w:lineRule="auto"/>
      <w:ind w:firstLine="720"/>
    </w:pPr>
    <w:rPr>
      <w:rFonts w:ascii="Times New Roman" w:eastAsia="Times New Roman" w:hAnsi="Times New Roman" w:cs="Times New Roman"/>
      <w:sz w:val="24"/>
      <w:szCs w:val="24"/>
    </w:rPr>
  </w:style>
  <w:style w:type="character" w:styleId="FollowedHyperlink">
    <w:name w:val="FollowedHyperlink"/>
    <w:basedOn w:val="DefaultParagraphFont"/>
    <w:semiHidden/>
    <w:unhideWhenUsed/>
    <w:rsid w:val="000F6815"/>
    <w:rPr>
      <w:color w:val="954F72" w:themeColor="followedHyperlink"/>
      <w:u w:val="single"/>
    </w:rPr>
  </w:style>
  <w:style w:type="character" w:customStyle="1" w:styleId="Button">
    <w:name w:val="Button"/>
    <w:basedOn w:val="BodyTextChar"/>
    <w:qFormat/>
    <w:rsid w:val="000F6815"/>
    <w:rPr>
      <w:rFonts w:ascii="Times New Roman" w:eastAsia="Times New Roman" w:hAnsi="Times New Roman" w:cs="Times New Roman"/>
      <w:smallCaps/>
      <w:sz w:val="22"/>
      <w:szCs w:val="24"/>
      <w:lang w:val="en-US" w:eastAsia="x-none"/>
    </w:rPr>
  </w:style>
  <w:style w:type="table" w:customStyle="1" w:styleId="TablegridRTI">
    <w:name w:val="Table grid RTI"/>
    <w:basedOn w:val="TableNormal"/>
    <w:uiPriority w:val="99"/>
    <w:rsid w:val="000F6815"/>
    <w:pPr>
      <w:spacing w:after="0" w:line="240" w:lineRule="auto"/>
      <w:jc w:val="center"/>
    </w:pPr>
    <w:rPr>
      <w:rFonts w:ascii="Arial" w:eastAsia="Times New Roman" w:hAnsi="Arial" w:cs="Times New Roman"/>
      <w:sz w:val="18"/>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115" w:type="dxa"/>
        <w:bottom w:w="29" w:type="dxa"/>
        <w:right w:w="115" w:type="dxa"/>
      </w:tblCellMar>
    </w:tblPr>
    <w:trPr>
      <w:cantSplit/>
    </w:trPr>
    <w:tcPr>
      <w:shd w:val="clear" w:color="auto" w:fill="auto"/>
    </w:tcPr>
    <w:tblStylePr w:type="firstRow">
      <w:pPr>
        <w:jc w:val="center"/>
      </w:pPr>
      <w:rPr>
        <w:rFonts w:asciiTheme="minorBidi" w:hAnsiTheme="minorBidi"/>
        <w:b w:val="0"/>
        <w:sz w:val="18"/>
      </w:rPr>
      <w:tblPr/>
      <w:trPr>
        <w:tblHeader/>
      </w:trPr>
      <w:tcPr>
        <w:shd w:val="clear" w:color="auto" w:fill="4472C4" w:themeFill="accent1"/>
        <w:vAlign w:val="bottom"/>
      </w:tcPr>
    </w:tblStylePr>
    <w:tblStylePr w:type="firstCol">
      <w:pPr>
        <w:jc w:val="left"/>
      </w:pPr>
      <w:rPr>
        <w:rFonts w:asciiTheme="minorBidi" w:hAnsiTheme="minorBidi"/>
        <w:sz w:val="18"/>
      </w:rPr>
      <w:tblPr>
        <w:tblCellMar>
          <w:top w:w="29" w:type="dxa"/>
          <w:left w:w="115" w:type="dxa"/>
          <w:bottom w:w="29" w:type="dxa"/>
          <w:right w:w="115" w:type="dxa"/>
        </w:tblCellMar>
      </w:tblPr>
      <w:trPr>
        <w:cantSplit/>
      </w:trPr>
    </w:tblStylePr>
  </w:style>
  <w:style w:type="paragraph" w:customStyle="1" w:styleId="acronymlist">
    <w:name w:val="acronym list"/>
    <w:basedOn w:val="BodyText"/>
    <w:rsid w:val="000F6815"/>
    <w:pPr>
      <w:tabs>
        <w:tab w:val="left" w:pos="1440"/>
      </w:tabs>
    </w:pPr>
  </w:style>
  <w:style w:type="paragraph" w:customStyle="1" w:styleId="Appfigurecaption">
    <w:name w:val="App figure caption"/>
    <w:basedOn w:val="Figurecaption"/>
    <w:uiPriority w:val="1"/>
    <w:qFormat/>
    <w:rsid w:val="000F6815"/>
  </w:style>
  <w:style w:type="paragraph" w:customStyle="1" w:styleId="Appheading1">
    <w:name w:val="App heading 1"/>
    <w:basedOn w:val="Heading1"/>
    <w:uiPriority w:val="1"/>
    <w:qFormat/>
    <w:rsid w:val="000F6815"/>
  </w:style>
  <w:style w:type="paragraph" w:customStyle="1" w:styleId="ESHeading2">
    <w:name w:val="ES Heading 2"/>
    <w:basedOn w:val="Heading2"/>
    <w:uiPriority w:val="1"/>
    <w:rsid w:val="000F6815"/>
    <w:pPr>
      <w:widowControl/>
      <w:spacing w:before="120" w:after="120"/>
    </w:pPr>
    <w:rPr>
      <w:lang w:val="en-CA" w:eastAsia="x-none"/>
    </w:rPr>
  </w:style>
  <w:style w:type="paragraph" w:customStyle="1" w:styleId="Appheading2">
    <w:name w:val="App heading 2"/>
    <w:basedOn w:val="ESHeading2"/>
    <w:uiPriority w:val="1"/>
    <w:rsid w:val="000F6815"/>
  </w:style>
  <w:style w:type="paragraph" w:customStyle="1" w:styleId="Apptabletitle">
    <w:name w:val="App table title"/>
    <w:basedOn w:val="TableTitle"/>
    <w:uiPriority w:val="1"/>
    <w:qFormat/>
    <w:rsid w:val="000F6815"/>
  </w:style>
  <w:style w:type="paragraph" w:customStyle="1" w:styleId="Coversubtitle">
    <w:name w:val="Cover subtitle"/>
    <w:basedOn w:val="Normal"/>
    <w:uiPriority w:val="1"/>
    <w:qFormat/>
    <w:rsid w:val="000F6815"/>
    <w:pPr>
      <w:widowControl w:val="0"/>
      <w:autoSpaceDE w:val="0"/>
      <w:autoSpaceDN w:val="0"/>
      <w:adjustRightInd w:val="0"/>
      <w:spacing w:after="0" w:line="240" w:lineRule="auto"/>
      <w:jc w:val="right"/>
    </w:pPr>
    <w:rPr>
      <w:rFonts w:ascii="Arial" w:eastAsia="Times New Roman" w:hAnsi="Arial" w:cs="Arial"/>
      <w:b/>
      <w:bCs/>
      <w:sz w:val="40"/>
      <w:szCs w:val="40"/>
    </w:rPr>
  </w:style>
  <w:style w:type="paragraph" w:customStyle="1" w:styleId="AppTitle">
    <w:name w:val="App_Title"/>
    <w:basedOn w:val="Coversubtitle"/>
    <w:uiPriority w:val="1"/>
    <w:qFormat/>
    <w:rsid w:val="000F6815"/>
    <w:pPr>
      <w:spacing w:before="240" w:after="240"/>
      <w:jc w:val="center"/>
    </w:pPr>
    <w:rPr>
      <w:color w:val="44546A" w:themeColor="text2"/>
    </w:rPr>
  </w:style>
  <w:style w:type="paragraph" w:customStyle="1" w:styleId="Bodyindented">
    <w:name w:val="Body indented"/>
    <w:basedOn w:val="BodyText"/>
    <w:uiPriority w:val="1"/>
    <w:rsid w:val="000F6815"/>
    <w:pPr>
      <w:ind w:left="900"/>
    </w:pPr>
  </w:style>
  <w:style w:type="paragraph" w:customStyle="1" w:styleId="BodyTextLast0">
    <w:name w:val="Body Text Last"/>
    <w:basedOn w:val="BodyText"/>
    <w:uiPriority w:val="9"/>
    <w:rsid w:val="000F6815"/>
    <w:pPr>
      <w:autoSpaceDE/>
      <w:autoSpaceDN/>
      <w:adjustRightInd/>
    </w:pPr>
    <w:rPr>
      <w:lang w:eastAsia="en-US"/>
    </w:rPr>
  </w:style>
  <w:style w:type="paragraph" w:customStyle="1" w:styleId="Bullet1">
    <w:name w:val="Bullet 1"/>
    <w:basedOn w:val="Normal"/>
    <w:link w:val="Bullet1Char"/>
    <w:uiPriority w:val="9"/>
    <w:rsid w:val="000F6815"/>
    <w:pPr>
      <w:numPr>
        <w:numId w:val="2"/>
      </w:numPr>
      <w:spacing w:after="60" w:line="240" w:lineRule="auto"/>
    </w:pPr>
    <w:rPr>
      <w:rFonts w:ascii="Times New Roman" w:eastAsia="Times New Roman" w:hAnsi="Times New Roman" w:cs="Arial"/>
      <w:sz w:val="24"/>
      <w:szCs w:val="24"/>
    </w:rPr>
  </w:style>
  <w:style w:type="character" w:customStyle="1" w:styleId="Bullet1Char">
    <w:name w:val="Bullet 1 Char"/>
    <w:link w:val="Bullet1"/>
    <w:uiPriority w:val="9"/>
    <w:rsid w:val="000F6815"/>
    <w:rPr>
      <w:rFonts w:ascii="Times New Roman" w:eastAsia="Times New Roman" w:hAnsi="Times New Roman" w:cs="Arial"/>
      <w:sz w:val="24"/>
      <w:szCs w:val="24"/>
    </w:rPr>
  </w:style>
  <w:style w:type="paragraph" w:customStyle="1" w:styleId="bullets">
    <w:name w:val="bullets"/>
    <w:aliases w:val="bu"/>
    <w:basedOn w:val="Normal"/>
    <w:uiPriority w:val="9"/>
    <w:rsid w:val="000F6815"/>
    <w:pPr>
      <w:numPr>
        <w:numId w:val="3"/>
      </w:numPr>
      <w:adjustRightInd w:val="0"/>
      <w:snapToGrid w:val="0"/>
      <w:spacing w:after="120" w:line="280" w:lineRule="exact"/>
    </w:pPr>
    <w:rPr>
      <w:rFonts w:ascii="Verdana" w:eastAsia="Times New Roman" w:hAnsi="Verdana" w:cs="Times New Roman"/>
      <w:sz w:val="20"/>
      <w:szCs w:val="20"/>
    </w:rPr>
  </w:style>
  <w:style w:type="paragraph" w:customStyle="1" w:styleId="bullets-2ndlevel">
    <w:name w:val="bullets-2nd level"/>
    <w:basedOn w:val="bullets"/>
    <w:uiPriority w:val="9"/>
    <w:rsid w:val="000F6815"/>
    <w:pPr>
      <w:numPr>
        <w:ilvl w:val="1"/>
      </w:numPr>
      <w:adjustRightInd/>
      <w:snapToGrid/>
    </w:pPr>
  </w:style>
  <w:style w:type="paragraph" w:customStyle="1" w:styleId="bullets-numbered">
    <w:name w:val="bullets-numbered"/>
    <w:basedOn w:val="Normal"/>
    <w:uiPriority w:val="9"/>
    <w:rsid w:val="000F6815"/>
    <w:pPr>
      <w:autoSpaceDE w:val="0"/>
      <w:autoSpaceDN w:val="0"/>
      <w:adjustRightInd w:val="0"/>
      <w:spacing w:after="120" w:line="240" w:lineRule="auto"/>
    </w:pPr>
    <w:rPr>
      <w:rFonts w:ascii="Times New Roman" w:eastAsia="Times New Roman" w:hAnsi="Times New Roman" w:cs="Times New Roman"/>
      <w:sz w:val="24"/>
      <w:szCs w:val="24"/>
      <w:lang w:val="x-none" w:eastAsia="x-none"/>
    </w:rPr>
  </w:style>
  <w:style w:type="paragraph" w:customStyle="1" w:styleId="Coverdate">
    <w:name w:val="Cover date"/>
    <w:basedOn w:val="Covertext"/>
    <w:uiPriority w:val="1"/>
    <w:qFormat/>
    <w:rsid w:val="000F6815"/>
    <w:rPr>
      <w:b/>
      <w:bCs/>
      <w:sz w:val="24"/>
      <w:szCs w:val="24"/>
    </w:rPr>
  </w:style>
  <w:style w:type="paragraph" w:styleId="EndnoteText">
    <w:name w:val="endnote text"/>
    <w:basedOn w:val="Normal"/>
    <w:link w:val="EndnoteTextChar"/>
    <w:uiPriority w:val="9"/>
    <w:unhideWhenUsed/>
    <w:rsid w:val="000F6815"/>
    <w:pPr>
      <w:autoSpaceDE w:val="0"/>
      <w:autoSpaceDN w:val="0"/>
      <w:adjustRightInd w:val="0"/>
      <w:spacing w:after="0" w:line="240" w:lineRule="auto"/>
    </w:pPr>
    <w:rPr>
      <w:rFonts w:ascii="Times New Roman" w:eastAsia="Times New Roman" w:hAnsi="Times New Roman" w:cs="Times New Roman"/>
      <w:sz w:val="20"/>
      <w:szCs w:val="20"/>
      <w:lang w:val="x-none" w:eastAsia="x-none"/>
    </w:rPr>
  </w:style>
  <w:style w:type="character" w:customStyle="1" w:styleId="EndnoteTextChar">
    <w:name w:val="Endnote Text Char"/>
    <w:basedOn w:val="DefaultParagraphFont"/>
    <w:link w:val="EndnoteText"/>
    <w:uiPriority w:val="9"/>
    <w:rsid w:val="000F6815"/>
    <w:rPr>
      <w:rFonts w:ascii="Times New Roman" w:eastAsia="Times New Roman" w:hAnsi="Times New Roman" w:cs="Times New Roman"/>
      <w:sz w:val="20"/>
      <w:szCs w:val="20"/>
      <w:lang w:val="x-none" w:eastAsia="x-none"/>
    </w:rPr>
  </w:style>
  <w:style w:type="paragraph" w:customStyle="1" w:styleId="Equationtext-greaterindent">
    <w:name w:val="Equation text-greater indent"/>
    <w:basedOn w:val="Normal"/>
    <w:uiPriority w:val="1"/>
    <w:rsid w:val="000F6815"/>
    <w:pPr>
      <w:numPr>
        <w:ilvl w:val="12"/>
      </w:numPr>
      <w:tabs>
        <w:tab w:val="right" w:pos="1800"/>
        <w:tab w:val="left" w:pos="1890"/>
        <w:tab w:val="left" w:pos="2160"/>
      </w:tabs>
      <w:autoSpaceDE w:val="0"/>
      <w:autoSpaceDN w:val="0"/>
      <w:adjustRightInd w:val="0"/>
      <w:spacing w:after="0" w:line="240" w:lineRule="auto"/>
      <w:ind w:left="2160" w:hanging="2160"/>
    </w:pPr>
    <w:rPr>
      <w:rFonts w:ascii="Times New Roman" w:eastAsia="Times New Roman" w:hAnsi="Times New Roman" w:cs="Times New Roman"/>
      <w:sz w:val="24"/>
      <w:szCs w:val="24"/>
    </w:rPr>
  </w:style>
  <w:style w:type="paragraph" w:customStyle="1" w:styleId="ESTitle">
    <w:name w:val="ES_Title"/>
    <w:basedOn w:val="AppTitle"/>
    <w:uiPriority w:val="1"/>
    <w:qFormat/>
    <w:rsid w:val="000F6815"/>
  </w:style>
  <w:style w:type="paragraph" w:customStyle="1" w:styleId="FootnoteText1">
    <w:name w:val="Footnote Text1"/>
    <w:basedOn w:val="Normal"/>
    <w:uiPriority w:val="9"/>
    <w:qFormat/>
    <w:rsid w:val="000F6815"/>
    <w:pPr>
      <w:widowControl w:val="0"/>
      <w:autoSpaceDE w:val="0"/>
      <w:autoSpaceDN w:val="0"/>
      <w:adjustRightInd w:val="0"/>
      <w:spacing w:after="0" w:line="240" w:lineRule="auto"/>
      <w:ind w:left="180" w:hanging="180"/>
    </w:pPr>
    <w:rPr>
      <w:rFonts w:ascii="Times New Roman" w:eastAsia="Times New Roman" w:hAnsi="Times New Roman" w:cs="Times New Roman"/>
      <w:sz w:val="20"/>
      <w:szCs w:val="20"/>
    </w:rPr>
  </w:style>
  <w:style w:type="paragraph" w:customStyle="1" w:styleId="InsertFigure0">
    <w:name w:val="Insert Figure"/>
    <w:basedOn w:val="Normal"/>
    <w:uiPriority w:val="9"/>
    <w:rsid w:val="000F6815"/>
    <w:pPr>
      <w:keepNext/>
      <w:spacing w:after="0" w:line="240" w:lineRule="auto"/>
      <w:jc w:val="center"/>
    </w:pPr>
    <w:rPr>
      <w:rFonts w:ascii="Times New Roman" w:eastAsia="Times New Roman" w:hAnsi="Times New Roman" w:cs="Arial"/>
      <w:szCs w:val="24"/>
    </w:rPr>
  </w:style>
  <w:style w:type="paragraph" w:customStyle="1" w:styleId="Letteredlist">
    <w:name w:val="Lettered list"/>
    <w:basedOn w:val="numlist"/>
    <w:rsid w:val="000F6815"/>
    <w:pPr>
      <w:numPr>
        <w:numId w:val="6"/>
      </w:numPr>
      <w:tabs>
        <w:tab w:val="clear" w:pos="720"/>
      </w:tabs>
      <w:spacing w:after="60"/>
    </w:pPr>
    <w:rPr>
      <w:szCs w:val="24"/>
      <w:lang w:eastAsia="x-none"/>
    </w:rPr>
  </w:style>
  <w:style w:type="paragraph" w:customStyle="1" w:styleId="ListBullet31">
    <w:name w:val="List Bullet 31"/>
    <w:basedOn w:val="ListBullet"/>
    <w:uiPriority w:val="9"/>
    <w:rsid w:val="000F6815"/>
    <w:pPr>
      <w:tabs>
        <w:tab w:val="num" w:pos="1530"/>
      </w:tabs>
      <w:ind w:left="1530"/>
    </w:pPr>
    <w:rPr>
      <w:lang w:val="x-none" w:eastAsia="x-none"/>
    </w:rPr>
  </w:style>
  <w:style w:type="paragraph" w:customStyle="1" w:styleId="numlistlast">
    <w:name w:val="num list last"/>
    <w:basedOn w:val="numlist"/>
    <w:qFormat/>
    <w:rsid w:val="000F6815"/>
    <w:pPr>
      <w:spacing w:after="120"/>
    </w:pPr>
  </w:style>
  <w:style w:type="paragraph" w:styleId="Quote">
    <w:name w:val="Quote"/>
    <w:basedOn w:val="BodyText"/>
    <w:next w:val="BodyText"/>
    <w:link w:val="QuoteChar"/>
    <w:uiPriority w:val="1"/>
    <w:rsid w:val="000F6815"/>
    <w:pPr>
      <w:ind w:left="720" w:right="720"/>
    </w:pPr>
    <w:rPr>
      <w:i/>
      <w:iCs/>
      <w:color w:val="404040" w:themeColor="text1" w:themeTint="BF"/>
    </w:rPr>
  </w:style>
  <w:style w:type="character" w:customStyle="1" w:styleId="QuoteChar">
    <w:name w:val="Quote Char"/>
    <w:basedOn w:val="DefaultParagraphFont"/>
    <w:link w:val="Quote"/>
    <w:uiPriority w:val="1"/>
    <w:rsid w:val="000F6815"/>
    <w:rPr>
      <w:rFonts w:ascii="Times New Roman" w:eastAsia="Times New Roman" w:hAnsi="Times New Roman" w:cs="Times New Roman"/>
      <w:i/>
      <w:iCs/>
      <w:color w:val="404040" w:themeColor="text1" w:themeTint="BF"/>
      <w:sz w:val="24"/>
      <w:szCs w:val="24"/>
      <w:lang w:eastAsia="x-none"/>
    </w:rPr>
  </w:style>
  <w:style w:type="character" w:customStyle="1" w:styleId="st">
    <w:name w:val="st"/>
    <w:basedOn w:val="DefaultParagraphFont"/>
    <w:uiPriority w:val="9"/>
    <w:rsid w:val="000F6815"/>
  </w:style>
  <w:style w:type="paragraph" w:customStyle="1" w:styleId="Steps">
    <w:name w:val="Steps"/>
    <w:basedOn w:val="ListParagraph"/>
    <w:rsid w:val="000F6815"/>
    <w:pPr>
      <w:widowControl/>
      <w:numPr>
        <w:numId w:val="10"/>
      </w:numPr>
      <w:tabs>
        <w:tab w:val="left" w:pos="1260"/>
      </w:tabs>
      <w:spacing w:after="120"/>
    </w:pPr>
    <w:rPr>
      <w:bCs/>
      <w:szCs w:val="24"/>
      <w:lang w:val="x-none" w:eastAsia="x-none"/>
    </w:rPr>
  </w:style>
  <w:style w:type="character" w:customStyle="1" w:styleId="TabletextChar">
    <w:name w:val="Table text Char"/>
    <w:link w:val="Tabletext"/>
    <w:rsid w:val="000F6815"/>
    <w:rPr>
      <w:rFonts w:ascii="Arial" w:eastAsia="Times New Roman" w:hAnsi="Arial" w:cs="Times New Roman"/>
      <w:sz w:val="18"/>
    </w:rPr>
  </w:style>
  <w:style w:type="paragraph" w:customStyle="1" w:styleId="TableNumlist">
    <w:name w:val="TableNumlist"/>
    <w:basedOn w:val="bullets-numbered"/>
    <w:uiPriority w:val="9"/>
    <w:rsid w:val="000F6815"/>
    <w:pPr>
      <w:widowControl w:val="0"/>
      <w:numPr>
        <w:numId w:val="11"/>
      </w:numPr>
      <w:tabs>
        <w:tab w:val="num" w:pos="247"/>
      </w:tabs>
    </w:pPr>
    <w:rPr>
      <w:rFonts w:asciiTheme="minorBidi" w:hAnsiTheme="minorBidi" w:cstheme="minorBidi"/>
      <w:sz w:val="18"/>
      <w:szCs w:val="18"/>
    </w:rPr>
  </w:style>
  <w:style w:type="paragraph" w:customStyle="1" w:styleId="Textboxbullet">
    <w:name w:val="Text box bullet"/>
    <w:basedOn w:val="Tablebullet"/>
    <w:uiPriority w:val="1"/>
    <w:rsid w:val="000F6815"/>
    <w:pPr>
      <w:ind w:left="173" w:hanging="173"/>
    </w:pPr>
    <w:rPr>
      <w:sz w:val="20"/>
      <w:szCs w:val="20"/>
    </w:rPr>
  </w:style>
  <w:style w:type="paragraph" w:customStyle="1" w:styleId="Textboxheading">
    <w:name w:val="Text box heading"/>
    <w:basedOn w:val="Textbox"/>
    <w:next w:val="Textbox"/>
    <w:uiPriority w:val="1"/>
    <w:rsid w:val="000F6815"/>
    <w:pPr>
      <w:jc w:val="center"/>
    </w:pPr>
    <w:rPr>
      <w:b/>
      <w:bCs/>
    </w:rPr>
  </w:style>
  <w:style w:type="paragraph" w:customStyle="1" w:styleId="Textbox0">
    <w:name w:val="Textbox"/>
    <w:basedOn w:val="Normal"/>
    <w:link w:val="TextboxChar"/>
    <w:uiPriority w:val="1"/>
    <w:rsid w:val="000F6815"/>
    <w:pPr>
      <w:spacing w:after="60" w:line="240" w:lineRule="auto"/>
    </w:pPr>
    <w:rPr>
      <w:rFonts w:ascii="Arial" w:eastAsia="Times New Roman" w:hAnsi="Arial" w:cs="Arial"/>
      <w:sz w:val="18"/>
      <w:szCs w:val="20"/>
    </w:rPr>
  </w:style>
  <w:style w:type="character" w:customStyle="1" w:styleId="TextboxChar">
    <w:name w:val="Textbox Char"/>
    <w:link w:val="Textbox0"/>
    <w:uiPriority w:val="1"/>
    <w:rsid w:val="000F6815"/>
    <w:rPr>
      <w:rFonts w:ascii="Arial" w:eastAsia="Times New Roman" w:hAnsi="Arial" w:cs="Arial"/>
      <w:sz w:val="18"/>
      <w:szCs w:val="20"/>
    </w:rPr>
  </w:style>
  <w:style w:type="paragraph" w:customStyle="1" w:styleId="Title1">
    <w:name w:val="Title1"/>
    <w:basedOn w:val="Normal"/>
    <w:uiPriority w:val="9"/>
    <w:rsid w:val="000F681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Apps">
    <w:name w:val="TOC_Apps"/>
    <w:basedOn w:val="TOC1"/>
    <w:uiPriority w:val="1"/>
    <w:rsid w:val="000F6815"/>
    <w:pPr>
      <w:spacing w:before="0"/>
      <w:ind w:left="0" w:right="0" w:firstLine="0"/>
    </w:pPr>
  </w:style>
  <w:style w:type="character" w:styleId="PlaceholderText">
    <w:name w:val="Placeholder Text"/>
    <w:basedOn w:val="DefaultParagraphFont"/>
    <w:uiPriority w:val="99"/>
    <w:semiHidden/>
    <w:rsid w:val="000F6815"/>
    <w:rPr>
      <w:color w:val="808080"/>
    </w:rPr>
  </w:style>
  <w:style w:type="character" w:styleId="UnresolvedMention">
    <w:name w:val="Unresolved Mention"/>
    <w:basedOn w:val="DefaultParagraphFont"/>
    <w:uiPriority w:val="99"/>
    <w:semiHidden/>
    <w:unhideWhenUsed/>
    <w:rsid w:val="000F681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5.jpg"/><Relationship Id="rId21" Type="http://schemas.openxmlformats.org/officeDocument/2006/relationships/image" Target="media/image8.png"/><Relationship Id="rId34" Type="http://schemas.openxmlformats.org/officeDocument/2006/relationships/image" Target="media/image20.jpg"/><Relationship Id="rId42" Type="http://schemas.openxmlformats.org/officeDocument/2006/relationships/image" Target="media/image28.png"/><Relationship Id="rId47" Type="http://schemas.openxmlformats.org/officeDocument/2006/relationships/image" Target="media/image33.jpeg"/><Relationship Id="rId50" Type="http://schemas.openxmlformats.org/officeDocument/2006/relationships/image" Target="media/image36.png"/><Relationship Id="rId55" Type="http://schemas.openxmlformats.org/officeDocument/2006/relationships/hyperlink" Target="http://www.epa.gov/ncea/efh/pdfs/efh-complete.pdf" TargetMode="External"/><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s://www.epa.gov/wqc/human-health-water-quality-criteria-and-methods-toxics" TargetMode="External"/><Relationship Id="rId25" Type="http://schemas.openxmlformats.org/officeDocument/2006/relationships/image" Target="media/image12.png"/><Relationship Id="rId33" Type="http://schemas.openxmlformats.org/officeDocument/2006/relationships/image" Target="media/image19.jp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7.jpg"/><Relationship Id="rId54" Type="http://schemas.openxmlformats.org/officeDocument/2006/relationships/hyperlink" Target="http://water.epa.gov/scitech/wastetech/biosolids/biosolids_index.cf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image" Target="media/image18.jp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hyperlink" Target="http://water.epa.gov/scitech/wastetech/biosolids/biosolids_index.cfm" TargetMode="External"/><Relationship Id="rId58"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hyperlink" Target="http://www.epa.gov/iris/" TargetMode="External"/><Relationship Id="rId44" Type="http://schemas.openxmlformats.org/officeDocument/2006/relationships/image" Target="media/image30.png"/><Relationship Id="rId52" Type="http://schemas.openxmlformats.org/officeDocument/2006/relationships/image" Target="media/image3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jp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image" Target="media/image37.png"/><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1" Type="http://schemas.openxmlformats.org/officeDocument/2006/relationships/hyperlink" Target="https://www.epa.gov/chemical-research/ecological-soil-screening-leve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9740B7EBA1667478E025AE03BACAA0C" ma:contentTypeVersion="21" ma:contentTypeDescription="Create a new document." ma:contentTypeScope="" ma:versionID="3e51d08ddb4418b29d2f7dd270855665">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1ad0269c-2511-4159-98ac-392385d4262d" xmlns:ns6="32a0852c-3f0b-4de4-8079-d61d68a2e1cf" targetNamespace="http://schemas.microsoft.com/office/2006/metadata/properties" ma:root="true" ma:fieldsID="07418a55fe259812f3767de3353f41fb" ns1:_="" ns2:_="" ns3:_="" ns4:_="" ns5:_="" ns6:_="">
    <xsd:import namespace="http://schemas.microsoft.com/sharepoint/v3"/>
    <xsd:import namespace="4ffa91fb-a0ff-4ac5-b2db-65c790d184a4"/>
    <xsd:import namespace="http://schemas.microsoft.com/sharepoint.v3"/>
    <xsd:import namespace="http://schemas.microsoft.com/sharepoint/v3/fields"/>
    <xsd:import namespace="1ad0269c-2511-4159-98ac-392385d4262d"/>
    <xsd:import namespace="32a0852c-3f0b-4de4-8079-d61d68a2e1cf"/>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SharedWithUsers" minOccurs="0"/>
                <xsd:element ref="ns5:SharedWithDetails" minOccurs="0"/>
                <xsd:element ref="ns6:MediaServiceMetadata" minOccurs="0"/>
                <xsd:element ref="ns6:MediaServiceFastMetadata" minOccurs="0"/>
                <xsd:element ref="ns6:MediaServiceEventHashCode" minOccurs="0"/>
                <xsd:element ref="ns6:MediaServiceGenerationTime" minOccurs="0"/>
                <xsd:element ref="ns6:MediaServiceAutoTags" minOccurs="0"/>
                <xsd:element ref="ns6:MediaServiceOCR" minOccurs="0"/>
                <xsd:element ref="ns6:MediaServiceDateTaken" minOccurs="0"/>
                <xsd:element ref="ns6:MediaServiceLocation" minOccurs="0"/>
                <xsd:element ref="ns6:MediaServiceAutoKeyPoints" minOccurs="0"/>
                <xsd:element ref="ns6:MediaServiceKeyPoints" minOccurs="0"/>
                <xsd:element ref="ns6:MediaLengthInSeconds" minOccurs="0"/>
                <xsd:element ref="ns6:lcf76f155ced4ddcb4097134ff3c332f"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element name="_ip_UnifiedCompliancePolicyProperties" ma:index="44" nillable="true" ma:displayName="Unified Compliance Policy Properties" ma:hidden="true" ma:internalName="_ip_UnifiedCompliancePolicyProperties">
      <xsd:simpleType>
        <xsd:restriction base="dms:Note"/>
      </xsd:simpleType>
    </xsd:element>
    <xsd:element name="_ip_UnifiedCompliancePolicyUIAction" ma:index="4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ma:readOnly="fals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ma:readOnly="false">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ma:readOnly="false">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8c9e5fc3-0796-456f-a58e-d4ef9f2e0eb8}" ma:internalName="TaxCatchAllLabel" ma:readOnly="true" ma:showField="CatchAllDataLabel" ma:web="1ad0269c-2511-4159-98ac-392385d4262d">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8c9e5fc3-0796-456f-a58e-d4ef9f2e0eb8}" ma:internalName="TaxCatchAll" ma:showField="CatchAllData" ma:web="1ad0269c-2511-4159-98ac-392385d4262d">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ad0269c-2511-4159-98ac-392385d4262d" elementFormDefault="qualified">
    <xsd:import namespace="http://schemas.microsoft.com/office/2006/documentManagement/types"/>
    <xsd:import namespace="http://schemas.microsoft.com/office/infopath/2007/PartnerControls"/>
    <xsd:element name="SharedWithUsers" ma:index="2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2a0852c-3f0b-4de4-8079-d61d68a2e1cf" elementFormDefault="qualified">
    <xsd:import namespace="http://schemas.microsoft.com/office/2006/documentManagement/types"/>
    <xsd:import namespace="http://schemas.microsoft.com/office/infopath/2007/PartnerControls"/>
    <xsd:element name="MediaServiceMetadata" ma:index="31" nillable="true" ma:displayName="MediaServiceMetadata" ma:hidden="true" ma:internalName="MediaServiceMetadata" ma:readOnly="true">
      <xsd:simpleType>
        <xsd:restriction base="dms:Note"/>
      </xsd:simpleType>
    </xsd:element>
    <xsd:element name="MediaServiceFastMetadata" ma:index="32" nillable="true" ma:displayName="MediaServiceFastMetadata" ma:hidden="true" ma:internalName="MediaServiceFastMetadata" ma:readOnly="true">
      <xsd:simpleType>
        <xsd:restriction base="dms:Note"/>
      </xsd:simpleType>
    </xsd:element>
    <xsd:element name="MediaServiceEventHashCode" ma:index="33" nillable="true" ma:displayName="MediaServiceEventHashCode" ma:hidden="true" ma:internalName="MediaServiceEventHashCode" ma:readOnly="true">
      <xsd:simpleType>
        <xsd:restriction base="dms:Text"/>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AutoTags" ma:index="35" nillable="true" ma:displayName="Tags" ma:internalName="MediaServiceAutoTags" ma:readOnly="true">
      <xsd:simpleType>
        <xsd:restriction base="dms:Text"/>
      </xsd:simpleType>
    </xsd:element>
    <xsd:element name="MediaServiceOCR" ma:index="36" nillable="true" ma:displayName="Extracted Text" ma:internalName="MediaServiceOCR" ma:readOnly="true">
      <xsd:simpleType>
        <xsd:restriction base="dms:Note">
          <xsd:maxLength value="255"/>
        </xsd:restriction>
      </xsd:simpleType>
    </xsd:element>
    <xsd:element name="MediaServiceDateTaken" ma:index="37" nillable="true" ma:displayName="MediaServiceDateTaken" ma:hidden="true" ma:internalName="MediaServiceDateTaken" ma:readOnly="true">
      <xsd:simpleType>
        <xsd:restriction base="dms:Text"/>
      </xsd:simpleType>
    </xsd:element>
    <xsd:element name="MediaServiceLocation" ma:index="38" nillable="true" ma:displayName="Location" ma:internalName="MediaServiceLocation" ma:readOnly="true">
      <xsd:simpleType>
        <xsd:restriction base="dms:Text"/>
      </xsd:simpleType>
    </xsd:element>
    <xsd:element name="MediaServiceAutoKeyPoints" ma:index="39" nillable="true" ma:displayName="MediaServiceAutoKeyPoints" ma:hidden="true" ma:internalName="MediaServiceAutoKeyPoints" ma:readOnly="true">
      <xsd:simpleType>
        <xsd:restriction base="dms:Note"/>
      </xsd:simpleType>
    </xsd:element>
    <xsd:element name="MediaServiceKeyPoints" ma:index="40" nillable="true" ma:displayName="KeyPoints" ma:internalName="MediaServiceKeyPoints" ma:readOnly="true">
      <xsd:simpleType>
        <xsd:restriction base="dms:Note">
          <xsd:maxLength value="255"/>
        </xsd:restriction>
      </xsd:simpleType>
    </xsd:element>
    <xsd:element name="MediaLengthInSeconds" ma:index="41" nillable="true" ma:displayName="MediaLengthInSeconds" ma:hidden="true" ma:internalName="MediaLengthInSeconds" ma:readOnly="true">
      <xsd:simpleType>
        <xsd:restriction base="dms:Unknown"/>
      </xsd:simpleType>
    </xsd:element>
    <xsd:element name="lcf76f155ced4ddcb4097134ff3c332f" ma:index="43"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Coverage xmlns="http://schemas.microsoft.com/sharepoint/v3/fields" xsi:nil="true"/>
    <Record xmlns="4ffa91fb-a0ff-4ac5-b2db-65c790d184a4">Shared</Record>
    <EPA_x0020_Office xmlns="4ffa91fb-a0ff-4ac5-b2db-65c790d184a4" xsi:nil="true"/>
    <Document_x0020_Creation_x0020_Date xmlns="4ffa91fb-a0ff-4ac5-b2db-65c790d184a4">2022-06-15T13:03:06+00:00</Document_x0020_Creation_x0020_Date>
    <EPA_x0020_Related_x0020_Documents xmlns="4ffa91fb-a0ff-4ac5-b2db-65c790d184a4" xsi:nil="true"/>
    <j747ac98061d40f0aa7bd47e1db5675d xmlns="4ffa91fb-a0ff-4ac5-b2db-65c790d184a4">
      <Terms xmlns="http://schemas.microsoft.com/office/infopath/2007/PartnerControls"/>
    </j747ac98061d40f0aa7bd47e1db5675d>
    <CategoryDescription xmlns="http://schemas.microsoft.com/sharepoint.v3" xsi:nil="true"/>
    <_Source xmlns="http://schemas.microsoft.com/sharepoint/v3/fields" xsi:nil="true"/>
    <EPA_x0020_Contributor xmlns="4ffa91fb-a0ff-4ac5-b2db-65c790d184a4">
      <UserInfo>
        <DisplayName/>
        <AccountId xsi:nil="true"/>
        <AccountType/>
      </UserInfo>
    </EPA_x0020_Contributor>
    <TaxCatchAll xmlns="4ffa91fb-a0ff-4ac5-b2db-65c790d184a4" xsi:nil="true"/>
    <TaxKeywordTaxHTField xmlns="4ffa91fb-a0ff-4ac5-b2db-65c790d184a4">
      <Terms xmlns="http://schemas.microsoft.com/office/infopath/2007/PartnerControls"/>
    </TaxKeywordTaxHTField>
    <Rights xmlns="4ffa91fb-a0ff-4ac5-b2db-65c790d184a4" xsi:nil="true"/>
    <e3f09c3df709400db2417a7161762d62 xmlns="4ffa91fb-a0ff-4ac5-b2db-65c790d184a4">
      <Terms xmlns="http://schemas.microsoft.com/office/infopath/2007/PartnerControls"/>
    </e3f09c3df709400db2417a7161762d62>
    <External_x0020_Contributor xmlns="4ffa91fb-a0ff-4ac5-b2db-65c790d184a4" xsi:nil="true"/>
    <Identifier xmlns="4ffa91fb-a0ff-4ac5-b2db-65c790d184a4" xsi:nil="true"/>
    <Creator xmlns="4ffa91fb-a0ff-4ac5-b2db-65c790d184a4">
      <UserInfo>
        <DisplayName/>
        <AccountId xsi:nil="true"/>
        <AccountType/>
      </UserInfo>
    </Creator>
    <Language xmlns="http://schemas.microsoft.com/sharepoint/v3">English</Language>
    <_ip_UnifiedCompliancePolicyUIAction xmlns="http://schemas.microsoft.com/sharepoint/v3" xsi:nil="true"/>
    <lcf76f155ced4ddcb4097134ff3c332f xmlns="32a0852c-3f0b-4de4-8079-d61d68a2e1cf">
      <Terms xmlns="http://schemas.microsoft.com/office/infopath/2007/PartnerControls"/>
    </lcf76f155ced4ddcb4097134ff3c332f>
    <_ip_UnifiedCompliancePolicyProperties xmlns="http://schemas.microsoft.com/sharepoint/v3"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F21F967C-B05D-4138-A1E1-D33FC0317B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ffa91fb-a0ff-4ac5-b2db-65c790d184a4"/>
    <ds:schemaRef ds:uri="http://schemas.microsoft.com/sharepoint.v3"/>
    <ds:schemaRef ds:uri="http://schemas.microsoft.com/sharepoint/v3/fields"/>
    <ds:schemaRef ds:uri="1ad0269c-2511-4159-98ac-392385d4262d"/>
    <ds:schemaRef ds:uri="32a0852c-3f0b-4de4-8079-d61d68a2e1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C203DF9-4CB8-4996-80CD-877558658D33}">
  <ds:schemaRefs>
    <ds:schemaRef ds:uri="http://schemas.openxmlformats.org/package/2006/metadata/core-properties"/>
    <ds:schemaRef ds:uri="http://purl.org/dc/elements/1.1/"/>
    <ds:schemaRef ds:uri="http://purl.org/dc/dcmitype/"/>
    <ds:schemaRef ds:uri="http://schemas.microsoft.com/office/infopath/2007/PartnerControls"/>
    <ds:schemaRef ds:uri="http://purl.org/dc/terms/"/>
    <ds:schemaRef ds:uri="4ffa91fb-a0ff-4ac5-b2db-65c790d184a4"/>
    <ds:schemaRef ds:uri="http://schemas.microsoft.com/office/2006/documentManagement/types"/>
    <ds:schemaRef ds:uri="32a0852c-3f0b-4de4-8079-d61d68a2e1cf"/>
    <ds:schemaRef ds:uri="http://schemas.microsoft.com/sharepoint/v3"/>
    <ds:schemaRef ds:uri="1ad0269c-2511-4159-98ac-392385d4262d"/>
    <ds:schemaRef ds:uri="http://schemas.microsoft.com/sharepoint/v3/fields"/>
    <ds:schemaRef ds:uri="http://schemas.microsoft.com/sharepoint.v3"/>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6A4C4084-8EEE-46F9-B04F-A02DE5860074}">
  <ds:schemaRefs>
    <ds:schemaRef ds:uri="http://schemas.openxmlformats.org/officeDocument/2006/bibliography"/>
  </ds:schemaRefs>
</ds:datastoreItem>
</file>

<file path=customXml/itemProps4.xml><?xml version="1.0" encoding="utf-8"?>
<ds:datastoreItem xmlns:ds="http://schemas.openxmlformats.org/officeDocument/2006/customXml" ds:itemID="{6DF76A20-5664-4C4C-AFB5-A78D97170172}">
  <ds:schemaRefs>
    <ds:schemaRef ds:uri="http://schemas.microsoft.com/sharepoint/v3/contenttype/forms"/>
  </ds:schemaRefs>
</ds:datastoreItem>
</file>

<file path=customXml/itemProps5.xml><?xml version="1.0" encoding="utf-8"?>
<ds:datastoreItem xmlns:ds="http://schemas.openxmlformats.org/officeDocument/2006/customXml" ds:itemID="{8C45F1CA-E75E-4005-BA7F-B3BB18AFF1B1}">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5923</TotalTime>
  <Pages>45</Pages>
  <Words>12674</Words>
  <Characters>72244</Characters>
  <Application>Microsoft Office Word</Application>
  <DocSecurity>0</DocSecurity>
  <Lines>602</Lines>
  <Paragraphs>169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84749</CharactersWithSpaces>
  <SharedDoc>false</SharedDoc>
  <HLinks>
    <vt:vector size="366" baseType="variant">
      <vt:variant>
        <vt:i4>1376348</vt:i4>
      </vt:variant>
      <vt:variant>
        <vt:i4>348</vt:i4>
      </vt:variant>
      <vt:variant>
        <vt:i4>0</vt:i4>
      </vt:variant>
      <vt:variant>
        <vt:i4>5</vt:i4>
      </vt:variant>
      <vt:variant>
        <vt:lpwstr>http://www.epa.gov/ncea/efh/pdfs/efh-complete.pdf</vt:lpwstr>
      </vt:variant>
      <vt:variant>
        <vt:lpwstr/>
      </vt:variant>
      <vt:variant>
        <vt:i4>5177464</vt:i4>
      </vt:variant>
      <vt:variant>
        <vt:i4>345</vt:i4>
      </vt:variant>
      <vt:variant>
        <vt:i4>0</vt:i4>
      </vt:variant>
      <vt:variant>
        <vt:i4>5</vt:i4>
      </vt:variant>
      <vt:variant>
        <vt:lpwstr>http://water.epa.gov/scitech/wastetech/biosolids/biosolids_index.cfm</vt:lpwstr>
      </vt:variant>
      <vt:variant>
        <vt:lpwstr/>
      </vt:variant>
      <vt:variant>
        <vt:i4>5177464</vt:i4>
      </vt:variant>
      <vt:variant>
        <vt:i4>342</vt:i4>
      </vt:variant>
      <vt:variant>
        <vt:i4>0</vt:i4>
      </vt:variant>
      <vt:variant>
        <vt:i4>5</vt:i4>
      </vt:variant>
      <vt:variant>
        <vt:lpwstr>http://water.epa.gov/scitech/wastetech/biosolids/biosolids_index.cfm</vt:lpwstr>
      </vt:variant>
      <vt:variant>
        <vt:lpwstr/>
      </vt:variant>
      <vt:variant>
        <vt:i4>1114191</vt:i4>
      </vt:variant>
      <vt:variant>
        <vt:i4>339</vt:i4>
      </vt:variant>
      <vt:variant>
        <vt:i4>0</vt:i4>
      </vt:variant>
      <vt:variant>
        <vt:i4>5</vt:i4>
      </vt:variant>
      <vt:variant>
        <vt:lpwstr>http://www.epa.gov/iris/</vt:lpwstr>
      </vt:variant>
      <vt:variant>
        <vt:lpwstr/>
      </vt:variant>
      <vt:variant>
        <vt:i4>1703967</vt:i4>
      </vt:variant>
      <vt:variant>
        <vt:i4>336</vt:i4>
      </vt:variant>
      <vt:variant>
        <vt:i4>0</vt:i4>
      </vt:variant>
      <vt:variant>
        <vt:i4>5</vt:i4>
      </vt:variant>
      <vt:variant>
        <vt:lpwstr>https://www.epa.gov/wqc/human-health-water-quality-criteria-and-methods-toxics</vt:lpwstr>
      </vt:variant>
      <vt:variant>
        <vt:lpwstr>methodology</vt:lpwstr>
      </vt:variant>
      <vt:variant>
        <vt:i4>1835060</vt:i4>
      </vt:variant>
      <vt:variant>
        <vt:i4>329</vt:i4>
      </vt:variant>
      <vt:variant>
        <vt:i4>0</vt:i4>
      </vt:variant>
      <vt:variant>
        <vt:i4>5</vt:i4>
      </vt:variant>
      <vt:variant>
        <vt:lpwstr/>
      </vt:variant>
      <vt:variant>
        <vt:lpwstr>_Toc103854371</vt:lpwstr>
      </vt:variant>
      <vt:variant>
        <vt:i4>1835060</vt:i4>
      </vt:variant>
      <vt:variant>
        <vt:i4>323</vt:i4>
      </vt:variant>
      <vt:variant>
        <vt:i4>0</vt:i4>
      </vt:variant>
      <vt:variant>
        <vt:i4>5</vt:i4>
      </vt:variant>
      <vt:variant>
        <vt:lpwstr/>
      </vt:variant>
      <vt:variant>
        <vt:lpwstr>_Toc103854370</vt:lpwstr>
      </vt:variant>
      <vt:variant>
        <vt:i4>1900596</vt:i4>
      </vt:variant>
      <vt:variant>
        <vt:i4>317</vt:i4>
      </vt:variant>
      <vt:variant>
        <vt:i4>0</vt:i4>
      </vt:variant>
      <vt:variant>
        <vt:i4>5</vt:i4>
      </vt:variant>
      <vt:variant>
        <vt:lpwstr/>
      </vt:variant>
      <vt:variant>
        <vt:lpwstr>_Toc103854369</vt:lpwstr>
      </vt:variant>
      <vt:variant>
        <vt:i4>1900596</vt:i4>
      </vt:variant>
      <vt:variant>
        <vt:i4>311</vt:i4>
      </vt:variant>
      <vt:variant>
        <vt:i4>0</vt:i4>
      </vt:variant>
      <vt:variant>
        <vt:i4>5</vt:i4>
      </vt:variant>
      <vt:variant>
        <vt:lpwstr/>
      </vt:variant>
      <vt:variant>
        <vt:lpwstr>_Toc103854368</vt:lpwstr>
      </vt:variant>
      <vt:variant>
        <vt:i4>1900596</vt:i4>
      </vt:variant>
      <vt:variant>
        <vt:i4>305</vt:i4>
      </vt:variant>
      <vt:variant>
        <vt:i4>0</vt:i4>
      </vt:variant>
      <vt:variant>
        <vt:i4>5</vt:i4>
      </vt:variant>
      <vt:variant>
        <vt:lpwstr/>
      </vt:variant>
      <vt:variant>
        <vt:lpwstr>_Toc103854367</vt:lpwstr>
      </vt:variant>
      <vt:variant>
        <vt:i4>1900596</vt:i4>
      </vt:variant>
      <vt:variant>
        <vt:i4>299</vt:i4>
      </vt:variant>
      <vt:variant>
        <vt:i4>0</vt:i4>
      </vt:variant>
      <vt:variant>
        <vt:i4>5</vt:i4>
      </vt:variant>
      <vt:variant>
        <vt:lpwstr/>
      </vt:variant>
      <vt:variant>
        <vt:lpwstr>_Toc103854366</vt:lpwstr>
      </vt:variant>
      <vt:variant>
        <vt:i4>1900596</vt:i4>
      </vt:variant>
      <vt:variant>
        <vt:i4>293</vt:i4>
      </vt:variant>
      <vt:variant>
        <vt:i4>0</vt:i4>
      </vt:variant>
      <vt:variant>
        <vt:i4>5</vt:i4>
      </vt:variant>
      <vt:variant>
        <vt:lpwstr/>
      </vt:variant>
      <vt:variant>
        <vt:lpwstr>_Toc103854365</vt:lpwstr>
      </vt:variant>
      <vt:variant>
        <vt:i4>1900596</vt:i4>
      </vt:variant>
      <vt:variant>
        <vt:i4>287</vt:i4>
      </vt:variant>
      <vt:variant>
        <vt:i4>0</vt:i4>
      </vt:variant>
      <vt:variant>
        <vt:i4>5</vt:i4>
      </vt:variant>
      <vt:variant>
        <vt:lpwstr/>
      </vt:variant>
      <vt:variant>
        <vt:lpwstr>_Toc103854364</vt:lpwstr>
      </vt:variant>
      <vt:variant>
        <vt:i4>1900596</vt:i4>
      </vt:variant>
      <vt:variant>
        <vt:i4>281</vt:i4>
      </vt:variant>
      <vt:variant>
        <vt:i4>0</vt:i4>
      </vt:variant>
      <vt:variant>
        <vt:i4>5</vt:i4>
      </vt:variant>
      <vt:variant>
        <vt:lpwstr/>
      </vt:variant>
      <vt:variant>
        <vt:lpwstr>_Toc103854363</vt:lpwstr>
      </vt:variant>
      <vt:variant>
        <vt:i4>1900596</vt:i4>
      </vt:variant>
      <vt:variant>
        <vt:i4>275</vt:i4>
      </vt:variant>
      <vt:variant>
        <vt:i4>0</vt:i4>
      </vt:variant>
      <vt:variant>
        <vt:i4>5</vt:i4>
      </vt:variant>
      <vt:variant>
        <vt:lpwstr/>
      </vt:variant>
      <vt:variant>
        <vt:lpwstr>_Toc103854362</vt:lpwstr>
      </vt:variant>
      <vt:variant>
        <vt:i4>1900596</vt:i4>
      </vt:variant>
      <vt:variant>
        <vt:i4>269</vt:i4>
      </vt:variant>
      <vt:variant>
        <vt:i4>0</vt:i4>
      </vt:variant>
      <vt:variant>
        <vt:i4>5</vt:i4>
      </vt:variant>
      <vt:variant>
        <vt:lpwstr/>
      </vt:variant>
      <vt:variant>
        <vt:lpwstr>_Toc103854361</vt:lpwstr>
      </vt:variant>
      <vt:variant>
        <vt:i4>1900596</vt:i4>
      </vt:variant>
      <vt:variant>
        <vt:i4>263</vt:i4>
      </vt:variant>
      <vt:variant>
        <vt:i4>0</vt:i4>
      </vt:variant>
      <vt:variant>
        <vt:i4>5</vt:i4>
      </vt:variant>
      <vt:variant>
        <vt:lpwstr/>
      </vt:variant>
      <vt:variant>
        <vt:lpwstr>_Toc103854360</vt:lpwstr>
      </vt:variant>
      <vt:variant>
        <vt:i4>1966132</vt:i4>
      </vt:variant>
      <vt:variant>
        <vt:i4>257</vt:i4>
      </vt:variant>
      <vt:variant>
        <vt:i4>0</vt:i4>
      </vt:variant>
      <vt:variant>
        <vt:i4>5</vt:i4>
      </vt:variant>
      <vt:variant>
        <vt:lpwstr/>
      </vt:variant>
      <vt:variant>
        <vt:lpwstr>_Toc103854359</vt:lpwstr>
      </vt:variant>
      <vt:variant>
        <vt:i4>1966132</vt:i4>
      </vt:variant>
      <vt:variant>
        <vt:i4>251</vt:i4>
      </vt:variant>
      <vt:variant>
        <vt:i4>0</vt:i4>
      </vt:variant>
      <vt:variant>
        <vt:i4>5</vt:i4>
      </vt:variant>
      <vt:variant>
        <vt:lpwstr/>
      </vt:variant>
      <vt:variant>
        <vt:lpwstr>_Toc103854358</vt:lpwstr>
      </vt:variant>
      <vt:variant>
        <vt:i4>1966132</vt:i4>
      </vt:variant>
      <vt:variant>
        <vt:i4>245</vt:i4>
      </vt:variant>
      <vt:variant>
        <vt:i4>0</vt:i4>
      </vt:variant>
      <vt:variant>
        <vt:i4>5</vt:i4>
      </vt:variant>
      <vt:variant>
        <vt:lpwstr/>
      </vt:variant>
      <vt:variant>
        <vt:lpwstr>_Toc103854357</vt:lpwstr>
      </vt:variant>
      <vt:variant>
        <vt:i4>1966132</vt:i4>
      </vt:variant>
      <vt:variant>
        <vt:i4>239</vt:i4>
      </vt:variant>
      <vt:variant>
        <vt:i4>0</vt:i4>
      </vt:variant>
      <vt:variant>
        <vt:i4>5</vt:i4>
      </vt:variant>
      <vt:variant>
        <vt:lpwstr/>
      </vt:variant>
      <vt:variant>
        <vt:lpwstr>_Toc103854356</vt:lpwstr>
      </vt:variant>
      <vt:variant>
        <vt:i4>1966132</vt:i4>
      </vt:variant>
      <vt:variant>
        <vt:i4>233</vt:i4>
      </vt:variant>
      <vt:variant>
        <vt:i4>0</vt:i4>
      </vt:variant>
      <vt:variant>
        <vt:i4>5</vt:i4>
      </vt:variant>
      <vt:variant>
        <vt:lpwstr/>
      </vt:variant>
      <vt:variant>
        <vt:lpwstr>_Toc103854355</vt:lpwstr>
      </vt:variant>
      <vt:variant>
        <vt:i4>1966132</vt:i4>
      </vt:variant>
      <vt:variant>
        <vt:i4>227</vt:i4>
      </vt:variant>
      <vt:variant>
        <vt:i4>0</vt:i4>
      </vt:variant>
      <vt:variant>
        <vt:i4>5</vt:i4>
      </vt:variant>
      <vt:variant>
        <vt:lpwstr/>
      </vt:variant>
      <vt:variant>
        <vt:lpwstr>_Toc103854354</vt:lpwstr>
      </vt:variant>
      <vt:variant>
        <vt:i4>1966132</vt:i4>
      </vt:variant>
      <vt:variant>
        <vt:i4>221</vt:i4>
      </vt:variant>
      <vt:variant>
        <vt:i4>0</vt:i4>
      </vt:variant>
      <vt:variant>
        <vt:i4>5</vt:i4>
      </vt:variant>
      <vt:variant>
        <vt:lpwstr/>
      </vt:variant>
      <vt:variant>
        <vt:lpwstr>_Toc103854353</vt:lpwstr>
      </vt:variant>
      <vt:variant>
        <vt:i4>1966132</vt:i4>
      </vt:variant>
      <vt:variant>
        <vt:i4>215</vt:i4>
      </vt:variant>
      <vt:variant>
        <vt:i4>0</vt:i4>
      </vt:variant>
      <vt:variant>
        <vt:i4>5</vt:i4>
      </vt:variant>
      <vt:variant>
        <vt:lpwstr/>
      </vt:variant>
      <vt:variant>
        <vt:lpwstr>_Toc103854352</vt:lpwstr>
      </vt:variant>
      <vt:variant>
        <vt:i4>1966132</vt:i4>
      </vt:variant>
      <vt:variant>
        <vt:i4>209</vt:i4>
      </vt:variant>
      <vt:variant>
        <vt:i4>0</vt:i4>
      </vt:variant>
      <vt:variant>
        <vt:i4>5</vt:i4>
      </vt:variant>
      <vt:variant>
        <vt:lpwstr/>
      </vt:variant>
      <vt:variant>
        <vt:lpwstr>_Toc103854351</vt:lpwstr>
      </vt:variant>
      <vt:variant>
        <vt:i4>1966132</vt:i4>
      </vt:variant>
      <vt:variant>
        <vt:i4>203</vt:i4>
      </vt:variant>
      <vt:variant>
        <vt:i4>0</vt:i4>
      </vt:variant>
      <vt:variant>
        <vt:i4>5</vt:i4>
      </vt:variant>
      <vt:variant>
        <vt:lpwstr/>
      </vt:variant>
      <vt:variant>
        <vt:lpwstr>_Toc103854350</vt:lpwstr>
      </vt:variant>
      <vt:variant>
        <vt:i4>2031668</vt:i4>
      </vt:variant>
      <vt:variant>
        <vt:i4>197</vt:i4>
      </vt:variant>
      <vt:variant>
        <vt:i4>0</vt:i4>
      </vt:variant>
      <vt:variant>
        <vt:i4>5</vt:i4>
      </vt:variant>
      <vt:variant>
        <vt:lpwstr/>
      </vt:variant>
      <vt:variant>
        <vt:lpwstr>_Toc103854349</vt:lpwstr>
      </vt:variant>
      <vt:variant>
        <vt:i4>2031668</vt:i4>
      </vt:variant>
      <vt:variant>
        <vt:i4>191</vt:i4>
      </vt:variant>
      <vt:variant>
        <vt:i4>0</vt:i4>
      </vt:variant>
      <vt:variant>
        <vt:i4>5</vt:i4>
      </vt:variant>
      <vt:variant>
        <vt:lpwstr/>
      </vt:variant>
      <vt:variant>
        <vt:lpwstr>_Toc103854348</vt:lpwstr>
      </vt:variant>
      <vt:variant>
        <vt:i4>2031668</vt:i4>
      </vt:variant>
      <vt:variant>
        <vt:i4>185</vt:i4>
      </vt:variant>
      <vt:variant>
        <vt:i4>0</vt:i4>
      </vt:variant>
      <vt:variant>
        <vt:i4>5</vt:i4>
      </vt:variant>
      <vt:variant>
        <vt:lpwstr/>
      </vt:variant>
      <vt:variant>
        <vt:lpwstr>_Toc103854347</vt:lpwstr>
      </vt:variant>
      <vt:variant>
        <vt:i4>2031668</vt:i4>
      </vt:variant>
      <vt:variant>
        <vt:i4>179</vt:i4>
      </vt:variant>
      <vt:variant>
        <vt:i4>0</vt:i4>
      </vt:variant>
      <vt:variant>
        <vt:i4>5</vt:i4>
      </vt:variant>
      <vt:variant>
        <vt:lpwstr/>
      </vt:variant>
      <vt:variant>
        <vt:lpwstr>_Toc103854346</vt:lpwstr>
      </vt:variant>
      <vt:variant>
        <vt:i4>2031668</vt:i4>
      </vt:variant>
      <vt:variant>
        <vt:i4>173</vt:i4>
      </vt:variant>
      <vt:variant>
        <vt:i4>0</vt:i4>
      </vt:variant>
      <vt:variant>
        <vt:i4>5</vt:i4>
      </vt:variant>
      <vt:variant>
        <vt:lpwstr/>
      </vt:variant>
      <vt:variant>
        <vt:lpwstr>_Toc103854345</vt:lpwstr>
      </vt:variant>
      <vt:variant>
        <vt:i4>2031668</vt:i4>
      </vt:variant>
      <vt:variant>
        <vt:i4>167</vt:i4>
      </vt:variant>
      <vt:variant>
        <vt:i4>0</vt:i4>
      </vt:variant>
      <vt:variant>
        <vt:i4>5</vt:i4>
      </vt:variant>
      <vt:variant>
        <vt:lpwstr/>
      </vt:variant>
      <vt:variant>
        <vt:lpwstr>_Toc103854344</vt:lpwstr>
      </vt:variant>
      <vt:variant>
        <vt:i4>2031668</vt:i4>
      </vt:variant>
      <vt:variant>
        <vt:i4>158</vt:i4>
      </vt:variant>
      <vt:variant>
        <vt:i4>0</vt:i4>
      </vt:variant>
      <vt:variant>
        <vt:i4>5</vt:i4>
      </vt:variant>
      <vt:variant>
        <vt:lpwstr/>
      </vt:variant>
      <vt:variant>
        <vt:lpwstr>_Toc103854343</vt:lpwstr>
      </vt:variant>
      <vt:variant>
        <vt:i4>2031668</vt:i4>
      </vt:variant>
      <vt:variant>
        <vt:i4>152</vt:i4>
      </vt:variant>
      <vt:variant>
        <vt:i4>0</vt:i4>
      </vt:variant>
      <vt:variant>
        <vt:i4>5</vt:i4>
      </vt:variant>
      <vt:variant>
        <vt:lpwstr/>
      </vt:variant>
      <vt:variant>
        <vt:lpwstr>_Toc103854342</vt:lpwstr>
      </vt:variant>
      <vt:variant>
        <vt:i4>2031668</vt:i4>
      </vt:variant>
      <vt:variant>
        <vt:i4>146</vt:i4>
      </vt:variant>
      <vt:variant>
        <vt:i4>0</vt:i4>
      </vt:variant>
      <vt:variant>
        <vt:i4>5</vt:i4>
      </vt:variant>
      <vt:variant>
        <vt:lpwstr/>
      </vt:variant>
      <vt:variant>
        <vt:lpwstr>_Toc103854341</vt:lpwstr>
      </vt:variant>
      <vt:variant>
        <vt:i4>2031668</vt:i4>
      </vt:variant>
      <vt:variant>
        <vt:i4>140</vt:i4>
      </vt:variant>
      <vt:variant>
        <vt:i4>0</vt:i4>
      </vt:variant>
      <vt:variant>
        <vt:i4>5</vt:i4>
      </vt:variant>
      <vt:variant>
        <vt:lpwstr/>
      </vt:variant>
      <vt:variant>
        <vt:lpwstr>_Toc103854340</vt:lpwstr>
      </vt:variant>
      <vt:variant>
        <vt:i4>1572916</vt:i4>
      </vt:variant>
      <vt:variant>
        <vt:i4>134</vt:i4>
      </vt:variant>
      <vt:variant>
        <vt:i4>0</vt:i4>
      </vt:variant>
      <vt:variant>
        <vt:i4>5</vt:i4>
      </vt:variant>
      <vt:variant>
        <vt:lpwstr/>
      </vt:variant>
      <vt:variant>
        <vt:lpwstr>_Toc103854339</vt:lpwstr>
      </vt:variant>
      <vt:variant>
        <vt:i4>1572916</vt:i4>
      </vt:variant>
      <vt:variant>
        <vt:i4>128</vt:i4>
      </vt:variant>
      <vt:variant>
        <vt:i4>0</vt:i4>
      </vt:variant>
      <vt:variant>
        <vt:i4>5</vt:i4>
      </vt:variant>
      <vt:variant>
        <vt:lpwstr/>
      </vt:variant>
      <vt:variant>
        <vt:lpwstr>_Toc103854338</vt:lpwstr>
      </vt:variant>
      <vt:variant>
        <vt:i4>1572916</vt:i4>
      </vt:variant>
      <vt:variant>
        <vt:i4>122</vt:i4>
      </vt:variant>
      <vt:variant>
        <vt:i4>0</vt:i4>
      </vt:variant>
      <vt:variant>
        <vt:i4>5</vt:i4>
      </vt:variant>
      <vt:variant>
        <vt:lpwstr/>
      </vt:variant>
      <vt:variant>
        <vt:lpwstr>_Toc103854337</vt:lpwstr>
      </vt:variant>
      <vt:variant>
        <vt:i4>1572916</vt:i4>
      </vt:variant>
      <vt:variant>
        <vt:i4>116</vt:i4>
      </vt:variant>
      <vt:variant>
        <vt:i4>0</vt:i4>
      </vt:variant>
      <vt:variant>
        <vt:i4>5</vt:i4>
      </vt:variant>
      <vt:variant>
        <vt:lpwstr/>
      </vt:variant>
      <vt:variant>
        <vt:lpwstr>_Toc103854336</vt:lpwstr>
      </vt:variant>
      <vt:variant>
        <vt:i4>1572916</vt:i4>
      </vt:variant>
      <vt:variant>
        <vt:i4>110</vt:i4>
      </vt:variant>
      <vt:variant>
        <vt:i4>0</vt:i4>
      </vt:variant>
      <vt:variant>
        <vt:i4>5</vt:i4>
      </vt:variant>
      <vt:variant>
        <vt:lpwstr/>
      </vt:variant>
      <vt:variant>
        <vt:lpwstr>_Toc103854335</vt:lpwstr>
      </vt:variant>
      <vt:variant>
        <vt:i4>1572916</vt:i4>
      </vt:variant>
      <vt:variant>
        <vt:i4>104</vt:i4>
      </vt:variant>
      <vt:variant>
        <vt:i4>0</vt:i4>
      </vt:variant>
      <vt:variant>
        <vt:i4>5</vt:i4>
      </vt:variant>
      <vt:variant>
        <vt:lpwstr/>
      </vt:variant>
      <vt:variant>
        <vt:lpwstr>_Toc103854334</vt:lpwstr>
      </vt:variant>
      <vt:variant>
        <vt:i4>1572916</vt:i4>
      </vt:variant>
      <vt:variant>
        <vt:i4>98</vt:i4>
      </vt:variant>
      <vt:variant>
        <vt:i4>0</vt:i4>
      </vt:variant>
      <vt:variant>
        <vt:i4>5</vt:i4>
      </vt:variant>
      <vt:variant>
        <vt:lpwstr/>
      </vt:variant>
      <vt:variant>
        <vt:lpwstr>_Toc103854333</vt:lpwstr>
      </vt:variant>
      <vt:variant>
        <vt:i4>1572916</vt:i4>
      </vt:variant>
      <vt:variant>
        <vt:i4>92</vt:i4>
      </vt:variant>
      <vt:variant>
        <vt:i4>0</vt:i4>
      </vt:variant>
      <vt:variant>
        <vt:i4>5</vt:i4>
      </vt:variant>
      <vt:variant>
        <vt:lpwstr/>
      </vt:variant>
      <vt:variant>
        <vt:lpwstr>_Toc103854332</vt:lpwstr>
      </vt:variant>
      <vt:variant>
        <vt:i4>1572916</vt:i4>
      </vt:variant>
      <vt:variant>
        <vt:i4>86</vt:i4>
      </vt:variant>
      <vt:variant>
        <vt:i4>0</vt:i4>
      </vt:variant>
      <vt:variant>
        <vt:i4>5</vt:i4>
      </vt:variant>
      <vt:variant>
        <vt:lpwstr/>
      </vt:variant>
      <vt:variant>
        <vt:lpwstr>_Toc103854331</vt:lpwstr>
      </vt:variant>
      <vt:variant>
        <vt:i4>1572916</vt:i4>
      </vt:variant>
      <vt:variant>
        <vt:i4>80</vt:i4>
      </vt:variant>
      <vt:variant>
        <vt:i4>0</vt:i4>
      </vt:variant>
      <vt:variant>
        <vt:i4>5</vt:i4>
      </vt:variant>
      <vt:variant>
        <vt:lpwstr/>
      </vt:variant>
      <vt:variant>
        <vt:lpwstr>_Toc103854330</vt:lpwstr>
      </vt:variant>
      <vt:variant>
        <vt:i4>1638452</vt:i4>
      </vt:variant>
      <vt:variant>
        <vt:i4>74</vt:i4>
      </vt:variant>
      <vt:variant>
        <vt:i4>0</vt:i4>
      </vt:variant>
      <vt:variant>
        <vt:i4>5</vt:i4>
      </vt:variant>
      <vt:variant>
        <vt:lpwstr/>
      </vt:variant>
      <vt:variant>
        <vt:lpwstr>_Toc103854329</vt:lpwstr>
      </vt:variant>
      <vt:variant>
        <vt:i4>1638452</vt:i4>
      </vt:variant>
      <vt:variant>
        <vt:i4>68</vt:i4>
      </vt:variant>
      <vt:variant>
        <vt:i4>0</vt:i4>
      </vt:variant>
      <vt:variant>
        <vt:i4>5</vt:i4>
      </vt:variant>
      <vt:variant>
        <vt:lpwstr/>
      </vt:variant>
      <vt:variant>
        <vt:lpwstr>_Toc103854328</vt:lpwstr>
      </vt:variant>
      <vt:variant>
        <vt:i4>1638452</vt:i4>
      </vt:variant>
      <vt:variant>
        <vt:i4>62</vt:i4>
      </vt:variant>
      <vt:variant>
        <vt:i4>0</vt:i4>
      </vt:variant>
      <vt:variant>
        <vt:i4>5</vt:i4>
      </vt:variant>
      <vt:variant>
        <vt:lpwstr/>
      </vt:variant>
      <vt:variant>
        <vt:lpwstr>_Toc103854327</vt:lpwstr>
      </vt:variant>
      <vt:variant>
        <vt:i4>1638452</vt:i4>
      </vt:variant>
      <vt:variant>
        <vt:i4>56</vt:i4>
      </vt:variant>
      <vt:variant>
        <vt:i4>0</vt:i4>
      </vt:variant>
      <vt:variant>
        <vt:i4>5</vt:i4>
      </vt:variant>
      <vt:variant>
        <vt:lpwstr/>
      </vt:variant>
      <vt:variant>
        <vt:lpwstr>_Toc103854326</vt:lpwstr>
      </vt:variant>
      <vt:variant>
        <vt:i4>1638452</vt:i4>
      </vt:variant>
      <vt:variant>
        <vt:i4>50</vt:i4>
      </vt:variant>
      <vt:variant>
        <vt:i4>0</vt:i4>
      </vt:variant>
      <vt:variant>
        <vt:i4>5</vt:i4>
      </vt:variant>
      <vt:variant>
        <vt:lpwstr/>
      </vt:variant>
      <vt:variant>
        <vt:lpwstr>_Toc103854325</vt:lpwstr>
      </vt:variant>
      <vt:variant>
        <vt:i4>1638452</vt:i4>
      </vt:variant>
      <vt:variant>
        <vt:i4>44</vt:i4>
      </vt:variant>
      <vt:variant>
        <vt:i4>0</vt:i4>
      </vt:variant>
      <vt:variant>
        <vt:i4>5</vt:i4>
      </vt:variant>
      <vt:variant>
        <vt:lpwstr/>
      </vt:variant>
      <vt:variant>
        <vt:lpwstr>_Toc103854324</vt:lpwstr>
      </vt:variant>
      <vt:variant>
        <vt:i4>1638452</vt:i4>
      </vt:variant>
      <vt:variant>
        <vt:i4>38</vt:i4>
      </vt:variant>
      <vt:variant>
        <vt:i4>0</vt:i4>
      </vt:variant>
      <vt:variant>
        <vt:i4>5</vt:i4>
      </vt:variant>
      <vt:variant>
        <vt:lpwstr/>
      </vt:variant>
      <vt:variant>
        <vt:lpwstr>_Toc103854323</vt:lpwstr>
      </vt:variant>
      <vt:variant>
        <vt:i4>1638452</vt:i4>
      </vt:variant>
      <vt:variant>
        <vt:i4>32</vt:i4>
      </vt:variant>
      <vt:variant>
        <vt:i4>0</vt:i4>
      </vt:variant>
      <vt:variant>
        <vt:i4>5</vt:i4>
      </vt:variant>
      <vt:variant>
        <vt:lpwstr/>
      </vt:variant>
      <vt:variant>
        <vt:lpwstr>_Toc103854322</vt:lpwstr>
      </vt:variant>
      <vt:variant>
        <vt:i4>1638452</vt:i4>
      </vt:variant>
      <vt:variant>
        <vt:i4>26</vt:i4>
      </vt:variant>
      <vt:variant>
        <vt:i4>0</vt:i4>
      </vt:variant>
      <vt:variant>
        <vt:i4>5</vt:i4>
      </vt:variant>
      <vt:variant>
        <vt:lpwstr/>
      </vt:variant>
      <vt:variant>
        <vt:lpwstr>_Toc103854321</vt:lpwstr>
      </vt:variant>
      <vt:variant>
        <vt:i4>1638452</vt:i4>
      </vt:variant>
      <vt:variant>
        <vt:i4>20</vt:i4>
      </vt:variant>
      <vt:variant>
        <vt:i4>0</vt:i4>
      </vt:variant>
      <vt:variant>
        <vt:i4>5</vt:i4>
      </vt:variant>
      <vt:variant>
        <vt:lpwstr/>
      </vt:variant>
      <vt:variant>
        <vt:lpwstr>_Toc103854320</vt:lpwstr>
      </vt:variant>
      <vt:variant>
        <vt:i4>1703988</vt:i4>
      </vt:variant>
      <vt:variant>
        <vt:i4>14</vt:i4>
      </vt:variant>
      <vt:variant>
        <vt:i4>0</vt:i4>
      </vt:variant>
      <vt:variant>
        <vt:i4>5</vt:i4>
      </vt:variant>
      <vt:variant>
        <vt:lpwstr/>
      </vt:variant>
      <vt:variant>
        <vt:lpwstr>_Toc103854319</vt:lpwstr>
      </vt:variant>
      <vt:variant>
        <vt:i4>1703988</vt:i4>
      </vt:variant>
      <vt:variant>
        <vt:i4>8</vt:i4>
      </vt:variant>
      <vt:variant>
        <vt:i4>0</vt:i4>
      </vt:variant>
      <vt:variant>
        <vt:i4>5</vt:i4>
      </vt:variant>
      <vt:variant>
        <vt:lpwstr/>
      </vt:variant>
      <vt:variant>
        <vt:lpwstr>_Toc103854318</vt:lpwstr>
      </vt:variant>
      <vt:variant>
        <vt:i4>1703988</vt:i4>
      </vt:variant>
      <vt:variant>
        <vt:i4>2</vt:i4>
      </vt:variant>
      <vt:variant>
        <vt:i4>0</vt:i4>
      </vt:variant>
      <vt:variant>
        <vt:i4>5</vt:i4>
      </vt:variant>
      <vt:variant>
        <vt:lpwstr/>
      </vt:variant>
      <vt:variant>
        <vt:lpwstr>_Toc103854317</vt:lpwstr>
      </vt:variant>
      <vt:variant>
        <vt:i4>720991</vt:i4>
      </vt:variant>
      <vt:variant>
        <vt:i4>0</vt:i4>
      </vt:variant>
      <vt:variant>
        <vt:i4>0</vt:i4>
      </vt:variant>
      <vt:variant>
        <vt:i4>5</vt:i4>
      </vt:variant>
      <vt:variant>
        <vt:lpwstr>https://www.epa.gov/chemical-research/ecological-soil-screening-level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Hassan, Ume</dc:creator>
  <cp:keywords/>
  <dc:description/>
  <cp:lastModifiedBy>Lutes, Anne (she/her)</cp:lastModifiedBy>
  <cp:revision>8</cp:revision>
  <dcterms:created xsi:type="dcterms:W3CDTF">2023-02-15T22:19:00Z</dcterms:created>
  <dcterms:modified xsi:type="dcterms:W3CDTF">2023-02-23T15:53:00Z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axKeyword">
    <vt:lpwstr/>
  </property>
  <property fmtid="{D5CDD505-2E9C-101B-9397-08002B2CF9AE}" pid="3" name="ContentTypeId">
    <vt:lpwstr>0x01010099740B7EBA1667478E025AE03BACAA0C</vt:lpwstr>
  </property>
  <property fmtid="{D5CDD505-2E9C-101B-9397-08002B2CF9AE}" pid="4" name="MediaServiceImageTags">
    <vt:lpwstr/>
  </property>
  <property fmtid="{D5CDD505-2E9C-101B-9397-08002B2CF9AE}" pid="5" name="EPA Subject">
    <vt:lpwstr/>
  </property>
  <property fmtid="{D5CDD505-2E9C-101B-9397-08002B2CF9AE}" pid="6" name="Document Type">
    <vt:lpwstr/>
  </property>
</Properties>
</file>